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0590" w14:textId="77777777" w:rsidR="00BE5160" w:rsidRDefault="00BE5160" w:rsidP="006067A7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2"/>
          <w:lang w:val="en-US" w:eastAsia="en-US"/>
        </w:rPr>
      </w:pPr>
    </w:p>
    <w:p w14:paraId="0A34BFCF" w14:textId="24CEAA67" w:rsidR="006067A7" w:rsidRPr="004109A3" w:rsidRDefault="00A75FCB" w:rsidP="006067A7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A75FCB">
        <w:rPr>
          <w:rFonts w:ascii="Calibri" w:eastAsia="Calibri" w:hAnsi="Calibri" w:cs="Calibri"/>
          <w:b/>
          <w:sz w:val="28"/>
          <w:szCs w:val="22"/>
          <w:lang w:val="en-US" w:eastAsia="en-US"/>
        </w:rPr>
        <w:t xml:space="preserve">Risking a new classification of possibility modals: The role of </w:t>
      </w:r>
      <w:proofErr w:type="spellStart"/>
      <w:r w:rsidRPr="00A75FCB">
        <w:rPr>
          <w:rFonts w:ascii="Calibri" w:eastAsia="Calibri" w:hAnsi="Calibri" w:cs="Calibri"/>
          <w:b/>
          <w:sz w:val="28"/>
          <w:szCs w:val="22"/>
          <w:lang w:val="en-US" w:eastAsia="en-US"/>
        </w:rPr>
        <w:t>apprehensives</w:t>
      </w:r>
      <w:proofErr w:type="spellEnd"/>
    </w:p>
    <w:p w14:paraId="24AF0DDA" w14:textId="37798A86" w:rsidR="006067A7" w:rsidRPr="004109A3" w:rsidRDefault="00A75FCB" w:rsidP="006067A7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n-GB" w:eastAsia="en-US"/>
        </w:rPr>
      </w:pPr>
      <w:r>
        <w:rPr>
          <w:rFonts w:ascii="Calibri" w:eastAsia="Calibri" w:hAnsi="Calibri" w:cs="Calibri"/>
          <w:sz w:val="22"/>
          <w:szCs w:val="22"/>
          <w:lang w:val="en-GB" w:eastAsia="en-US"/>
        </w:rPr>
        <w:t>Eva</w:t>
      </w:r>
      <w:r w:rsidR="006067A7" w:rsidRPr="004109A3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>Schultze-Berndt</w:t>
      </w:r>
    </w:p>
    <w:p w14:paraId="6AB33561" w14:textId="5DADABA0" w:rsidR="006067A7" w:rsidRPr="004109A3" w:rsidRDefault="006067A7" w:rsidP="006067A7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4109A3">
        <w:rPr>
          <w:rFonts w:ascii="Calibri" w:eastAsia="Calibri" w:hAnsi="Calibri" w:cs="Calibri"/>
          <w:sz w:val="22"/>
          <w:szCs w:val="22"/>
          <w:lang w:val="en-GB" w:eastAsia="en-US"/>
        </w:rPr>
        <w:t>(University o</w:t>
      </w:r>
      <w:r w:rsidR="00A75FCB">
        <w:rPr>
          <w:rFonts w:ascii="Calibri" w:eastAsia="Calibri" w:hAnsi="Calibri" w:cs="Calibri"/>
          <w:sz w:val="22"/>
          <w:szCs w:val="22"/>
          <w:lang w:val="en-GB" w:eastAsia="en-US"/>
        </w:rPr>
        <w:t>f</w:t>
      </w:r>
      <w:r w:rsidRPr="004109A3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r w:rsidR="00A75FCB">
        <w:rPr>
          <w:rFonts w:ascii="Calibri" w:eastAsia="Calibri" w:hAnsi="Calibri" w:cs="Calibri"/>
          <w:sz w:val="22"/>
          <w:szCs w:val="22"/>
          <w:lang w:val="en-GB" w:eastAsia="en-US"/>
        </w:rPr>
        <w:t>Manchester</w:t>
      </w:r>
      <w:r w:rsidRPr="004109A3">
        <w:rPr>
          <w:rFonts w:ascii="Calibri" w:eastAsia="Calibri" w:hAnsi="Calibri" w:cs="Calibri"/>
          <w:sz w:val="22"/>
          <w:szCs w:val="22"/>
          <w:lang w:val="en-GB" w:eastAsia="en-US"/>
        </w:rPr>
        <w:t>)</w:t>
      </w:r>
    </w:p>
    <w:p w14:paraId="7813AFE0" w14:textId="77777777" w:rsidR="006067A7" w:rsidRPr="004109A3" w:rsidRDefault="006067A7" w:rsidP="006067A7">
      <w:pPr>
        <w:spacing w:line="276" w:lineRule="auto"/>
        <w:rPr>
          <w:rFonts w:ascii="Calibri" w:eastAsia="Calibri" w:hAnsi="Calibri" w:cs="Calibri"/>
          <w:sz w:val="22"/>
          <w:szCs w:val="22"/>
          <w:lang w:val="en-GB" w:eastAsia="en-US"/>
        </w:rPr>
      </w:pPr>
    </w:p>
    <w:p w14:paraId="264F209C" w14:textId="645AD75A" w:rsidR="006067A7" w:rsidRPr="004109A3" w:rsidRDefault="006067A7" w:rsidP="006067A7">
      <w:pPr>
        <w:spacing w:line="276" w:lineRule="auto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4109A3">
        <w:rPr>
          <w:rFonts w:ascii="Calibri" w:eastAsia="Calibri" w:hAnsi="Calibri" w:cs="Calibri"/>
          <w:sz w:val="22"/>
          <w:szCs w:val="22"/>
          <w:lang w:val="en-GB" w:eastAsia="en-US"/>
        </w:rPr>
        <w:t xml:space="preserve">Keywords: </w:t>
      </w:r>
      <w:r w:rsidR="00A75FCB">
        <w:rPr>
          <w:rFonts w:ascii="Calibri" w:eastAsia="Calibri" w:hAnsi="Calibri" w:cs="Calibri"/>
          <w:sz w:val="22"/>
          <w:szCs w:val="22"/>
          <w:lang w:val="en-GB" w:eastAsia="en-US"/>
        </w:rPr>
        <w:t xml:space="preserve">Modality, </w:t>
      </w:r>
      <w:r w:rsidR="00992B64">
        <w:rPr>
          <w:rFonts w:ascii="Calibri" w:eastAsia="Calibri" w:hAnsi="Calibri" w:cs="Calibri"/>
          <w:sz w:val="22"/>
          <w:szCs w:val="22"/>
          <w:lang w:val="en-GB" w:eastAsia="en-US"/>
        </w:rPr>
        <w:t>Typology,</w:t>
      </w:r>
      <w:r w:rsidR="00A75FCB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="00A75FCB">
        <w:rPr>
          <w:rFonts w:ascii="Calibri" w:eastAsia="Calibri" w:hAnsi="Calibri" w:cs="Calibri"/>
          <w:sz w:val="22"/>
          <w:szCs w:val="22"/>
          <w:lang w:val="en-GB" w:eastAsia="en-US"/>
        </w:rPr>
        <w:t>Grammaticalisation</w:t>
      </w:r>
      <w:proofErr w:type="spellEnd"/>
      <w:r w:rsidR="00A75FCB">
        <w:rPr>
          <w:rFonts w:ascii="Calibri" w:eastAsia="Calibri" w:hAnsi="Calibri" w:cs="Calibri"/>
          <w:sz w:val="22"/>
          <w:szCs w:val="22"/>
          <w:lang w:val="en-GB" w:eastAsia="en-US"/>
        </w:rPr>
        <w:t xml:space="preserve">, Pragmatics, Risk communication </w:t>
      </w:r>
    </w:p>
    <w:p w14:paraId="676093A5" w14:textId="77777777" w:rsidR="006067A7" w:rsidRPr="004109A3" w:rsidRDefault="006067A7" w:rsidP="006067A7">
      <w:pPr>
        <w:spacing w:line="276" w:lineRule="auto"/>
        <w:rPr>
          <w:rFonts w:ascii="Calibri" w:eastAsia="Calibri" w:hAnsi="Calibri" w:cs="Calibri"/>
          <w:sz w:val="22"/>
          <w:szCs w:val="22"/>
          <w:lang w:val="en-GB" w:eastAsia="en-US"/>
        </w:rPr>
      </w:pPr>
    </w:p>
    <w:p w14:paraId="0D5F5970" w14:textId="74FB726A" w:rsidR="006067A7" w:rsidRDefault="00A75FCB" w:rsidP="006067A7">
      <w:pPr>
        <w:spacing w:line="276" w:lineRule="auto"/>
        <w:rPr>
          <w:rFonts w:ascii="Calibri" w:eastAsia="Calibri" w:hAnsi="Calibri" w:cs="Calibri"/>
          <w:sz w:val="22"/>
          <w:szCs w:val="22"/>
          <w:lang w:val="en-GB" w:eastAsia="en-US"/>
        </w:rPr>
      </w:pP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The communication of risks </w:t>
      </w:r>
      <w:r w:rsidRPr="00A75FCB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(</w:t>
      </w:r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e.g. </w:t>
      </w:r>
      <w:r w:rsidR="00852AF3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Pr="00A75FCB">
        <w:rPr>
          <w:rFonts w:asciiTheme="minorHAnsi" w:hAnsiTheme="minorHAnsi" w:cstheme="minorHAnsi"/>
          <w:i/>
          <w:iCs/>
          <w:sz w:val="22"/>
          <w:szCs w:val="22"/>
        </w:rPr>
        <w:t xml:space="preserve">ot </w:t>
      </w:r>
      <w:proofErr w:type="spellStart"/>
      <w:r w:rsidRPr="00A75FCB">
        <w:rPr>
          <w:rFonts w:asciiTheme="minorHAnsi" w:hAnsiTheme="minorHAnsi" w:cstheme="minorHAnsi"/>
          <w:i/>
          <w:iCs/>
          <w:sz w:val="22"/>
          <w:szCs w:val="22"/>
        </w:rPr>
        <w:t>surface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– c</w:t>
      </w:r>
      <w:r w:rsidRPr="00A75FCB">
        <w:rPr>
          <w:rFonts w:asciiTheme="minorHAnsi" w:hAnsiTheme="minorHAnsi" w:cstheme="minorHAnsi"/>
          <w:i/>
          <w:iCs/>
          <w:sz w:val="22"/>
          <w:szCs w:val="22"/>
        </w:rPr>
        <w:t xml:space="preserve">ontact </w:t>
      </w:r>
      <w:proofErr w:type="spellStart"/>
      <w:r w:rsidRPr="00A75FCB">
        <w:rPr>
          <w:rFonts w:asciiTheme="minorHAnsi" w:hAnsiTheme="minorHAnsi" w:cstheme="minorHAnsi"/>
          <w:i/>
          <w:iCs/>
          <w:sz w:val="22"/>
          <w:szCs w:val="22"/>
        </w:rPr>
        <w:t>may</w:t>
      </w:r>
      <w:proofErr w:type="spellEnd"/>
      <w:r w:rsidRPr="00A75F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75FCB">
        <w:rPr>
          <w:rFonts w:asciiTheme="minorHAnsi" w:hAnsiTheme="minorHAnsi" w:cstheme="minorHAnsi"/>
          <w:i/>
          <w:iCs/>
          <w:sz w:val="22"/>
          <w:szCs w:val="22"/>
        </w:rPr>
        <w:t>cause</w:t>
      </w:r>
      <w:proofErr w:type="spellEnd"/>
      <w:r w:rsidRPr="00A75F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75FCB">
        <w:rPr>
          <w:rFonts w:asciiTheme="minorHAnsi" w:hAnsiTheme="minorHAnsi" w:cstheme="minorHAnsi"/>
          <w:i/>
          <w:iCs/>
          <w:sz w:val="22"/>
          <w:szCs w:val="22"/>
        </w:rPr>
        <w:t>burn</w:t>
      </w:r>
      <w:proofErr w:type="spellEnd"/>
      <w:r w:rsidRPr="00A75FCB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)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and </w:t>
      </w:r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 xml:space="preserve">of 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actions </w:t>
      </w:r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>likely to avoid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risk</w:t>
      </w:r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>s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is of vital importance in </w:t>
      </w:r>
      <w:r w:rsidR="00DD6F75">
        <w:rPr>
          <w:rFonts w:ascii="Calibri" w:eastAsia="Calibri" w:hAnsi="Calibri" w:cs="Calibri"/>
          <w:sz w:val="22"/>
          <w:szCs w:val="22"/>
          <w:lang w:val="en-GB" w:eastAsia="en-US"/>
        </w:rPr>
        <w:t xml:space="preserve">human 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interaction. It </w:t>
      </w:r>
      <w:r w:rsidR="00E11FBC">
        <w:rPr>
          <w:rFonts w:ascii="Calibri" w:eastAsia="Calibri" w:hAnsi="Calibri" w:cs="Calibri"/>
          <w:sz w:val="22"/>
          <w:szCs w:val="22"/>
          <w:lang w:val="en-GB" w:eastAsia="en-US"/>
        </w:rPr>
        <w:t>is therefore not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surpris</w:t>
      </w:r>
      <w:r w:rsidR="00E11FBC">
        <w:rPr>
          <w:rFonts w:ascii="Calibri" w:eastAsia="Calibri" w:hAnsi="Calibri" w:cs="Calibri"/>
          <w:sz w:val="22"/>
          <w:szCs w:val="22"/>
          <w:lang w:val="en-GB" w:eastAsia="en-US"/>
        </w:rPr>
        <w:t>ing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that many languages possess </w:t>
      </w:r>
      <w:proofErr w:type="spellStart"/>
      <w:r>
        <w:rPr>
          <w:rFonts w:ascii="Calibri" w:eastAsia="Calibri" w:hAnsi="Calibri" w:cs="Calibri"/>
          <w:sz w:val="22"/>
          <w:szCs w:val="22"/>
          <w:lang w:val="en-GB" w:eastAsia="en-US"/>
        </w:rPr>
        <w:t>apprehensive</w:t>
      </w:r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>s</w:t>
      </w:r>
      <w:proofErr w:type="spellEnd"/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>, i.e.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modals</w:t>
      </w:r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 xml:space="preserve"> which </w:t>
      </w:r>
      <w:r w:rsidR="00852AF3">
        <w:rPr>
          <w:rFonts w:ascii="Calibri" w:eastAsia="Calibri" w:hAnsi="Calibri" w:cs="Calibri"/>
          <w:sz w:val="22"/>
          <w:szCs w:val="22"/>
          <w:lang w:val="en-GB" w:eastAsia="en-US"/>
        </w:rPr>
        <w:t xml:space="preserve">– just like the noun </w:t>
      </w:r>
      <w:r w:rsidR="00852AF3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 xml:space="preserve">risk </w:t>
      </w:r>
      <w:r w:rsidR="00852AF3">
        <w:rPr>
          <w:rFonts w:ascii="Calibri" w:eastAsia="Calibri" w:hAnsi="Calibri" w:cs="Calibri"/>
          <w:sz w:val="22"/>
          <w:szCs w:val="22"/>
          <w:lang w:val="en-GB" w:eastAsia="en-US"/>
        </w:rPr>
        <w:t xml:space="preserve">– </w:t>
      </w:r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>co-lexicalise the concepts of possibility and undesirability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>. These have mostly been discussed for lesser studied languages</w:t>
      </w:r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 xml:space="preserve"> (</w:t>
      </w:r>
      <w:proofErr w:type="spellStart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>Lichtenberk</w:t>
      </w:r>
      <w:proofErr w:type="spellEnd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 xml:space="preserve"> 1995, </w:t>
      </w:r>
      <w:proofErr w:type="spellStart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>Dobrushina</w:t>
      </w:r>
      <w:proofErr w:type="spellEnd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 xml:space="preserve"> 2006, </w:t>
      </w:r>
      <w:proofErr w:type="spellStart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>Pakendorf</w:t>
      </w:r>
      <w:proofErr w:type="spellEnd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 xml:space="preserve"> &amp; </w:t>
      </w:r>
      <w:proofErr w:type="spellStart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>Schalley</w:t>
      </w:r>
      <w:proofErr w:type="spellEnd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 xml:space="preserve"> 2007, Angelo &amp; Schultze-Berndt 2016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, </w:t>
      </w:r>
      <w:proofErr w:type="spellStart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>Vuillermet</w:t>
      </w:r>
      <w:proofErr w:type="spellEnd"/>
      <w:r w:rsidR="0069573C">
        <w:rPr>
          <w:rFonts w:ascii="Calibri" w:eastAsia="Calibri" w:hAnsi="Calibri" w:cs="Calibri"/>
          <w:sz w:val="22"/>
          <w:szCs w:val="22"/>
          <w:lang w:val="en-GB" w:eastAsia="en-US"/>
        </w:rPr>
        <w:t xml:space="preserve"> 2018, Faller et al. forthcoming) 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but are arguably present in </w:t>
      </w:r>
      <w:r w:rsidR="00B56DCE">
        <w:rPr>
          <w:rFonts w:ascii="Calibri" w:eastAsia="Calibri" w:hAnsi="Calibri" w:cs="Calibri"/>
          <w:sz w:val="22"/>
          <w:szCs w:val="22"/>
          <w:lang w:val="en-GB" w:eastAsia="en-US"/>
        </w:rPr>
        <w:t xml:space="preserve">more </w:t>
      </w:r>
      <w:r w:rsidR="005D5F3B">
        <w:rPr>
          <w:rFonts w:ascii="Calibri" w:eastAsia="Calibri" w:hAnsi="Calibri" w:cs="Calibri"/>
          <w:sz w:val="22"/>
          <w:szCs w:val="22"/>
          <w:lang w:val="en-GB" w:eastAsia="en-US"/>
        </w:rPr>
        <w:t>widely known languages</w:t>
      </w:r>
      <w:r w:rsidR="00B56DCE">
        <w:rPr>
          <w:rFonts w:ascii="Calibri" w:eastAsia="Calibri" w:hAnsi="Calibri" w:cs="Calibri"/>
          <w:sz w:val="22"/>
          <w:szCs w:val="22"/>
          <w:lang w:val="en-GB" w:eastAsia="en-US"/>
        </w:rPr>
        <w:t xml:space="preserve"> where they have </w:t>
      </w:r>
      <w:r w:rsidR="00D109F1">
        <w:rPr>
          <w:rFonts w:ascii="Calibri" w:eastAsia="Calibri" w:hAnsi="Calibri" w:cs="Calibri"/>
          <w:sz w:val="22"/>
          <w:szCs w:val="22"/>
          <w:lang w:val="en-GB" w:eastAsia="en-US"/>
        </w:rPr>
        <w:t>not always</w:t>
      </w:r>
      <w:r w:rsidR="00B56DCE">
        <w:rPr>
          <w:rFonts w:ascii="Calibri" w:eastAsia="Calibri" w:hAnsi="Calibri" w:cs="Calibri"/>
          <w:sz w:val="22"/>
          <w:szCs w:val="22"/>
          <w:lang w:val="en-GB" w:eastAsia="en-US"/>
        </w:rPr>
        <w:t xml:space="preserve"> received widespread attention; examples are English </w:t>
      </w:r>
      <w:r w:rsidR="00B56DCE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>be liable to</w:t>
      </w:r>
      <w:r w:rsidR="002A7EAB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 xml:space="preserve"> </w:t>
      </w:r>
      <w:r w:rsidR="002A7EAB">
        <w:rPr>
          <w:rFonts w:ascii="Calibri" w:eastAsia="Calibri" w:hAnsi="Calibri" w:cs="Calibri"/>
          <w:sz w:val="22"/>
          <w:szCs w:val="22"/>
          <w:lang w:val="en-GB" w:eastAsia="en-US"/>
        </w:rPr>
        <w:t>as in (1)</w:t>
      </w:r>
      <w:r w:rsidR="00373E90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>,</w:t>
      </w:r>
      <w:r w:rsidR="00B56DCE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 xml:space="preserve"> </w:t>
      </w:r>
      <w:r w:rsidR="00373E90">
        <w:rPr>
          <w:rFonts w:ascii="Calibri" w:eastAsia="Calibri" w:hAnsi="Calibri" w:cs="Calibri"/>
          <w:sz w:val="22"/>
          <w:szCs w:val="22"/>
          <w:lang w:val="en-GB" w:eastAsia="en-US"/>
        </w:rPr>
        <w:t>and</w:t>
      </w:r>
      <w:r w:rsidR="00373E90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 xml:space="preserve"> </w:t>
      </w:r>
      <w:r w:rsidR="00B56DCE">
        <w:rPr>
          <w:rFonts w:ascii="Calibri" w:eastAsia="Calibri" w:hAnsi="Calibri" w:cs="Calibri"/>
          <w:sz w:val="22"/>
          <w:szCs w:val="22"/>
          <w:lang w:val="en-GB" w:eastAsia="en-US"/>
        </w:rPr>
        <w:t xml:space="preserve">Dutch </w:t>
      </w:r>
      <w:proofErr w:type="spellStart"/>
      <w:r w:rsidR="00B56DCE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>straks</w:t>
      </w:r>
      <w:proofErr w:type="spellEnd"/>
      <w:r w:rsidR="00B56DCE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 xml:space="preserve"> </w:t>
      </w:r>
      <w:r w:rsidR="00B56DCE">
        <w:rPr>
          <w:rFonts w:ascii="Calibri" w:eastAsia="Calibri" w:hAnsi="Calibri" w:cs="Calibri"/>
          <w:sz w:val="22"/>
          <w:szCs w:val="22"/>
          <w:lang w:val="en-GB" w:eastAsia="en-US"/>
        </w:rPr>
        <w:t>(Boogaart 2009, 2020).</w:t>
      </w:r>
    </w:p>
    <w:p w14:paraId="7855322F" w14:textId="60EA4C2E" w:rsidR="002A7EAB" w:rsidRPr="002A7EAB" w:rsidRDefault="002A7EAB" w:rsidP="002A7EAB">
      <w:pPr>
        <w:tabs>
          <w:tab w:val="num" w:pos="720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(1)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conveyor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260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is </w:t>
      </w:r>
      <w:proofErr w:type="spellStart"/>
      <w:r w:rsidRPr="00D260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liable</w:t>
      </w:r>
      <w:proofErr w:type="spellEnd"/>
      <w:r w:rsidRPr="00D260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Pr="00D260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to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/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11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may</w:t>
      </w:r>
      <w:proofErr w:type="spellEnd"/>
      <w:r w:rsidR="008537C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8537C0" w:rsidRPr="00E31635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8537C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8537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start without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warning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2F849D3" w14:textId="6678BDD5" w:rsidR="00AC12AE" w:rsidRDefault="005D5F3B" w:rsidP="00E75482">
      <w:p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GB" w:eastAsia="en-US"/>
        </w:rPr>
        <w:t>In this paper, I consider the relevance of apprehensive modals – and more general</w:t>
      </w:r>
      <w:r w:rsidR="00D77FC0">
        <w:rPr>
          <w:rFonts w:ascii="Calibri" w:eastAsia="Calibri" w:hAnsi="Calibri" w:cs="Calibri"/>
          <w:sz w:val="22"/>
          <w:szCs w:val="22"/>
          <w:lang w:val="en-GB" w:eastAsia="en-US"/>
        </w:rPr>
        <w:t>ly, of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strategies </w:t>
      </w:r>
      <w:r w:rsidR="00D77FC0">
        <w:rPr>
          <w:rFonts w:ascii="Calibri" w:eastAsia="Calibri" w:hAnsi="Calibri" w:cs="Calibri"/>
          <w:sz w:val="22"/>
          <w:szCs w:val="22"/>
          <w:lang w:val="en-GB" w:eastAsia="en-US"/>
        </w:rPr>
        <w:t>for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expressing risk</w:t>
      </w:r>
      <w:r w:rsidR="00A4661C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– for the categorisation of </w:t>
      </w:r>
      <w:r w:rsidR="00B76143">
        <w:rPr>
          <w:rFonts w:ascii="Calibri" w:eastAsia="Calibri" w:hAnsi="Calibri" w:cs="Calibri"/>
          <w:sz w:val="22"/>
          <w:szCs w:val="22"/>
          <w:lang w:val="en-GB" w:eastAsia="en-US"/>
        </w:rPr>
        <w:t xml:space="preserve">possibility 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>modals. It is widely assumed</w:t>
      </w:r>
      <w:r w:rsidR="00852AF3">
        <w:rPr>
          <w:rFonts w:ascii="Calibri" w:eastAsia="Calibri" w:hAnsi="Calibri" w:cs="Calibri"/>
          <w:sz w:val="22"/>
          <w:szCs w:val="22"/>
          <w:lang w:val="en-GB"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following </w:t>
      </w:r>
      <w:proofErr w:type="spellStart"/>
      <w:r>
        <w:rPr>
          <w:rFonts w:ascii="Calibri" w:eastAsia="Calibri" w:hAnsi="Calibri" w:cs="Calibri"/>
          <w:sz w:val="22"/>
          <w:szCs w:val="22"/>
          <w:lang w:val="en-GB" w:eastAsia="en-US"/>
        </w:rPr>
        <w:t>Lichtenberk</w:t>
      </w:r>
      <w:proofErr w:type="spellEnd"/>
      <w:r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r w:rsidR="00B56DCE">
        <w:rPr>
          <w:rFonts w:ascii="Calibri" w:eastAsia="Calibri" w:hAnsi="Calibri" w:cs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 w:cs="Calibri"/>
          <w:sz w:val="22"/>
          <w:szCs w:val="22"/>
          <w:lang w:val="en-GB" w:eastAsia="en-US"/>
        </w:rPr>
        <w:t>1995)</w:t>
      </w:r>
      <w:r w:rsidR="00852AF3">
        <w:rPr>
          <w:rFonts w:ascii="Calibri" w:eastAsia="Calibri" w:hAnsi="Calibri" w:cs="Calibri"/>
          <w:sz w:val="22"/>
          <w:szCs w:val="22"/>
          <w:lang w:val="en-GB" w:eastAsia="en-US"/>
        </w:rPr>
        <w:t xml:space="preserve">, that </w:t>
      </w:r>
      <w:proofErr w:type="spellStart"/>
      <w:r w:rsidR="00A4661C">
        <w:rPr>
          <w:rFonts w:ascii="Calibri" w:eastAsia="Calibri" w:hAnsi="Calibri" w:cs="Calibri"/>
          <w:sz w:val="22"/>
          <w:szCs w:val="22"/>
          <w:lang w:val="en-GB" w:eastAsia="en-US"/>
        </w:rPr>
        <w:t>apprehensives</w:t>
      </w:r>
      <w:proofErr w:type="spellEnd"/>
      <w:r w:rsidR="00852AF3">
        <w:rPr>
          <w:rFonts w:ascii="Calibri" w:eastAsia="Calibri" w:hAnsi="Calibri" w:cs="Calibri"/>
          <w:sz w:val="22"/>
          <w:szCs w:val="22"/>
          <w:lang w:val="en-GB" w:eastAsia="en-US"/>
        </w:rPr>
        <w:t xml:space="preserve"> have an epistemic modal flavour, but relevant examples </w:t>
      </w:r>
      <w:r w:rsidR="009B2DFC">
        <w:rPr>
          <w:rFonts w:ascii="Calibri" w:eastAsia="Calibri" w:hAnsi="Calibri" w:cs="Calibri"/>
          <w:sz w:val="22"/>
          <w:szCs w:val="22"/>
          <w:lang w:val="en-GB" w:eastAsia="en-US"/>
        </w:rPr>
        <w:t>(akin to (</w:t>
      </w:r>
      <w:r w:rsidR="002A7EAB">
        <w:rPr>
          <w:rFonts w:ascii="Calibri" w:eastAsia="Calibri" w:hAnsi="Calibri" w:cs="Calibri"/>
          <w:sz w:val="22"/>
          <w:szCs w:val="22"/>
          <w:lang w:val="en-GB" w:eastAsia="en-US"/>
        </w:rPr>
        <w:t>1</w:t>
      </w:r>
      <w:r w:rsidR="009B2DFC">
        <w:rPr>
          <w:rFonts w:ascii="Calibri" w:eastAsia="Calibri" w:hAnsi="Calibri" w:cs="Calibri"/>
          <w:sz w:val="22"/>
          <w:szCs w:val="22"/>
          <w:lang w:val="en-GB" w:eastAsia="en-US"/>
        </w:rPr>
        <w:t>))</w:t>
      </w:r>
      <w:r w:rsidR="00852AF3">
        <w:rPr>
          <w:rFonts w:ascii="Calibri" w:eastAsia="Calibri" w:hAnsi="Calibri" w:cs="Calibri"/>
          <w:i/>
          <w:iCs/>
          <w:sz w:val="22"/>
          <w:szCs w:val="22"/>
          <w:lang w:val="en-GB" w:eastAsia="en-US"/>
        </w:rPr>
        <w:t xml:space="preserve"> </w:t>
      </w:r>
      <w:r w:rsidR="00852AF3">
        <w:rPr>
          <w:rFonts w:ascii="Calibri" w:eastAsia="Calibri" w:hAnsi="Calibri" w:cs="Calibri"/>
          <w:sz w:val="22"/>
          <w:szCs w:val="22"/>
          <w:lang w:val="en-GB" w:eastAsia="en-US"/>
        </w:rPr>
        <w:t xml:space="preserve">have also been placed within the </w:t>
      </w:r>
      <w:r w:rsidR="00852AF3"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categories of dynamic or circumstantial modality</w:t>
      </w:r>
      <w:r w:rsidR="00EB06B2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, broadly defined</w:t>
      </w:r>
      <w:r w:rsidR="00852AF3"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(e.g. </w:t>
      </w:r>
      <w:proofErr w:type="spellStart"/>
      <w:r w:rsidR="00852AF3"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Portner</w:t>
      </w:r>
      <w:proofErr w:type="spellEnd"/>
      <w:r w:rsidR="00852AF3"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2009: 140, 214)</w:t>
      </w:r>
      <w:r w:rsidR="00B56DCE"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.</w:t>
      </w:r>
      <w:r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</w:t>
      </w:r>
      <w:r w:rsidR="00B56DCE"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However, various strands of</w:t>
      </w:r>
      <w:r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evidence</w:t>
      </w:r>
      <w:r w:rsidR="00B56DCE" w:rsidRPr="0071523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point to a distinctive place of at least a subset of "risk modals" </w:t>
      </w:r>
      <w:r w:rsidR="00B56DC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in the typology of modality. Such evidence comes from the distributional properties of attested </w:t>
      </w:r>
      <w:proofErr w:type="spellStart"/>
      <w:r w:rsidR="00B56DC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apprehensives</w:t>
      </w:r>
      <w:proofErr w:type="spellEnd"/>
      <w:r w:rsidR="00852AF3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</w:t>
      </w:r>
      <w:proofErr w:type="gramStart"/>
      <w:r w:rsidR="00852AF3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with regard to</w:t>
      </w:r>
      <w:proofErr w:type="gramEnd"/>
      <w:r w:rsidR="00852AF3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their scope and temporal orientation</w:t>
      </w:r>
      <w:r w:rsidR="00B56DC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, </w:t>
      </w:r>
      <w:r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from </w:t>
      </w:r>
      <w:r w:rsidR="00B56DC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their </w:t>
      </w:r>
      <w:proofErr w:type="spellStart"/>
      <w:r w:rsidR="00B56DC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grammaticalisation</w:t>
      </w:r>
      <w:proofErr w:type="spellEnd"/>
      <w:r w:rsidR="00B56DC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sources, and from interdisciplinary studies of modal distinctions in risk communication (e.g. </w:t>
      </w:r>
      <w:proofErr w:type="spellStart"/>
      <w:r w:rsidR="00B56DC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Ülkü</w:t>
      </w:r>
      <w:r w:rsidR="00211764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men</w:t>
      </w:r>
      <w:proofErr w:type="spellEnd"/>
      <w:r w:rsidR="00211764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et al</w:t>
      </w:r>
      <w:r w:rsidR="009B2DF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.</w:t>
      </w:r>
      <w:r w:rsidR="00AC12AE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20</w:t>
      </w:r>
      <w:r w:rsidR="00211764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16</w:t>
      </w:r>
      <w:r w:rsidR="00852AF3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). </w:t>
      </w:r>
      <w:r w:rsidR="00992B64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Th</w:t>
      </w:r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e overarching</w:t>
      </w:r>
      <w:r w:rsidR="00992B64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distinctive </w:t>
      </w:r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property of non-epistemic </w:t>
      </w:r>
      <w:proofErr w:type="spellStart"/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apprehensives</w:t>
      </w:r>
      <w:proofErr w:type="spellEnd"/>
      <w:r w:rsidR="00590CF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and their less specialised possibility modal counterparts</w:t>
      </w:r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appears to be the "timeless" nature</w:t>
      </w:r>
      <w:r w:rsidR="00EB06B2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of the possibilities they encode</w:t>
      </w:r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(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Müller 2012</w:t>
      </w:r>
      <w:r w:rsidR="00032C9E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)</w:t>
      </w:r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: 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Unlike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circumstantial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possibilities</w:t>
      </w:r>
      <w:proofErr w:type="spellEnd"/>
      <w:r w:rsidR="00EB06B2" w:rsidRPr="007C5D4A">
        <w:rPr>
          <w:rFonts w:asciiTheme="minorHAnsi" w:hAnsiTheme="minorHAnsi" w:cstheme="minorHAnsi"/>
          <w:sz w:val="22"/>
          <w:szCs w:val="22"/>
        </w:rPr>
        <w:t xml:space="preserve"> </w:t>
      </w:r>
      <w:r w:rsidR="00E75482" w:rsidRPr="007C5D4A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narrow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sense (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Kratzer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1991: 664; </w:t>
      </w:r>
      <w:proofErr w:type="spellStart"/>
      <w:r w:rsidR="00AC12AE">
        <w:rPr>
          <w:rFonts w:asciiTheme="minorHAnsi" w:hAnsiTheme="minorHAnsi" w:cstheme="minorHAnsi"/>
          <w:sz w:val="22"/>
          <w:szCs w:val="22"/>
        </w:rPr>
        <w:t>Abusch</w:t>
      </w:r>
      <w:proofErr w:type="spellEnd"/>
      <w:r w:rsidR="00AC12AE">
        <w:rPr>
          <w:rFonts w:asciiTheme="minorHAnsi" w:hAnsiTheme="minorHAnsi" w:cstheme="minorHAnsi"/>
          <w:sz w:val="22"/>
          <w:szCs w:val="22"/>
        </w:rPr>
        <w:t xml:space="preserve"> 2012; </w:t>
      </w:r>
      <w:r w:rsidR="00E75482" w:rsidRPr="007C5D4A">
        <w:rPr>
          <w:rFonts w:asciiTheme="minorHAnsi" w:hAnsiTheme="minorHAnsi" w:cstheme="minorHAnsi"/>
          <w:sz w:val="22"/>
          <w:szCs w:val="22"/>
        </w:rPr>
        <w:t xml:space="preserve">Thomas 2014: 439),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they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contingent on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modal</w:t>
      </w:r>
      <w:proofErr w:type="spellEnd"/>
      <w:r w:rsidR="00EB06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judge'</w:t>
      </w:r>
      <w:r w:rsidR="00EB06B2" w:rsidRPr="007C5D4A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EB06B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perception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facts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actual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time of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 w:rsidR="00CC22FC">
        <w:rPr>
          <w:rFonts w:asciiTheme="minorHAnsi" w:hAnsiTheme="minorHAnsi" w:cstheme="minorHAnsi"/>
          <w:sz w:val="22"/>
          <w:szCs w:val="22"/>
        </w:rPr>
        <w:t xml:space="preserve">, as in (2), </w:t>
      </w:r>
      <w:r w:rsidR="00E75482" w:rsidRPr="007C5D4A">
        <w:rPr>
          <w:rFonts w:asciiTheme="minorHAnsi" w:hAnsiTheme="minorHAnsi" w:cstheme="minorHAnsi"/>
          <w:sz w:val="22"/>
          <w:szCs w:val="22"/>
        </w:rPr>
        <w:t xml:space="preserve">but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rather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5482" w:rsidRPr="007C5D4A">
        <w:rPr>
          <w:rFonts w:asciiTheme="minorHAnsi" w:hAnsiTheme="minorHAnsi" w:cstheme="minorHAnsi"/>
          <w:sz w:val="22"/>
          <w:szCs w:val="22"/>
        </w:rPr>
        <w:t>rely</w:t>
      </w:r>
      <w:proofErr w:type="spellEnd"/>
      <w:r w:rsidR="00E75482" w:rsidRPr="007C5D4A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="00EF50FC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="0071523D" w:rsidRPr="007C5D4A">
        <w:rPr>
          <w:rFonts w:asciiTheme="minorHAnsi" w:hAnsiTheme="minorHAnsi" w:cstheme="minorHAnsi"/>
          <w:sz w:val="22"/>
          <w:szCs w:val="22"/>
        </w:rPr>
        <w:t xml:space="preserve"> assessment of a</w:t>
      </w:r>
      <w:r w:rsidR="00EB06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possibility</w:t>
      </w:r>
      <w:proofErr w:type="spellEnd"/>
      <w:r w:rsidR="00EB06B2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="00EB06B2">
        <w:rPr>
          <w:rFonts w:asciiTheme="minorHAnsi" w:hAnsiTheme="minorHAnsi" w:cstheme="minorHAnsi"/>
          <w:sz w:val="22"/>
          <w:szCs w:val="22"/>
        </w:rPr>
        <w:t xml:space="preserve"> on a</w:t>
      </w:r>
      <w:r w:rsidR="0071523D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523D" w:rsidRPr="007C5D4A">
        <w:rPr>
          <w:rFonts w:asciiTheme="minorHAnsi" w:hAnsiTheme="minorHAnsi" w:cstheme="minorHAnsi"/>
          <w:sz w:val="22"/>
          <w:szCs w:val="22"/>
        </w:rPr>
        <w:t>stereotypical</w:t>
      </w:r>
      <w:proofErr w:type="spellEnd"/>
      <w:r w:rsidR="0071523D" w:rsidRPr="007C5D4A">
        <w:rPr>
          <w:rFonts w:asciiTheme="minorHAnsi" w:hAnsiTheme="minorHAnsi" w:cstheme="minorHAnsi"/>
          <w:sz w:val="22"/>
          <w:szCs w:val="22"/>
        </w:rPr>
        <w:t xml:space="preserve"> course of events</w:t>
      </w:r>
      <w:r w:rsidR="00941185">
        <w:rPr>
          <w:rFonts w:asciiTheme="minorHAnsi" w:hAnsiTheme="minorHAnsi" w:cstheme="minorHAnsi"/>
          <w:sz w:val="22"/>
          <w:szCs w:val="22"/>
        </w:rPr>
        <w:t>, as in (</w:t>
      </w:r>
      <w:r w:rsidR="00CC22FC">
        <w:rPr>
          <w:rFonts w:asciiTheme="minorHAnsi" w:hAnsiTheme="minorHAnsi" w:cstheme="minorHAnsi"/>
          <w:sz w:val="22"/>
          <w:szCs w:val="22"/>
        </w:rPr>
        <w:t>1</w:t>
      </w:r>
      <w:r w:rsidR="00941185">
        <w:rPr>
          <w:rFonts w:asciiTheme="minorHAnsi" w:hAnsiTheme="minorHAnsi" w:cstheme="minorHAnsi"/>
          <w:sz w:val="22"/>
          <w:szCs w:val="22"/>
        </w:rPr>
        <w:t>)</w:t>
      </w:r>
      <w:r w:rsidR="00E75482" w:rsidRPr="007C5D4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1523D" w:rsidRPr="007C5D4A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71523D" w:rsidRPr="007C5D4A">
        <w:rPr>
          <w:rFonts w:asciiTheme="minorHAnsi" w:hAnsiTheme="minorHAnsi" w:cstheme="minorHAnsi"/>
          <w:sz w:val="22"/>
          <w:szCs w:val="22"/>
        </w:rPr>
        <w:t xml:space="preserve"> </w:t>
      </w:r>
      <w:r w:rsidR="00E75482" w:rsidRPr="007C5D4A">
        <w:rPr>
          <w:rFonts w:asciiTheme="minorHAnsi" w:hAnsiTheme="minorHAnsi" w:cstheme="minorHAnsi"/>
          <w:sz w:val="22"/>
          <w:szCs w:val="22"/>
        </w:rPr>
        <w:t>u</w:t>
      </w:r>
      <w:proofErr w:type="spellStart"/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nlike</w:t>
      </w:r>
      <w:proofErr w:type="spellEnd"/>
      <w:r w:rsidR="00032C9E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epistemic modals in the narrow sense</w:t>
      </w:r>
      <w:r w:rsidR="0071523D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, they cannot have past or present temporal orientation because they do not relate to an individual speaker's (or other modal judge's) knowledge </w:t>
      </w:r>
      <w:r w:rsidR="00EF50F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about a specific situation </w:t>
      </w:r>
      <w:r w:rsidR="0071523D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at the </w:t>
      </w:r>
      <w:r w:rsidR="0071523D" w:rsidRPr="007C5D4A">
        <w:rPr>
          <w:rFonts w:asciiTheme="minorHAnsi" w:hAnsiTheme="minorHAnsi" w:cstheme="minorHAnsi"/>
          <w:sz w:val="22"/>
          <w:szCs w:val="22"/>
        </w:rPr>
        <w:t xml:space="preserve">time of </w:t>
      </w:r>
      <w:proofErr w:type="spellStart"/>
      <w:r w:rsidR="0071523D" w:rsidRPr="007C5D4A">
        <w:rPr>
          <w:rFonts w:asciiTheme="minorHAnsi" w:hAnsiTheme="minorHAnsi" w:cstheme="minorHAnsi"/>
          <w:sz w:val="22"/>
          <w:szCs w:val="22"/>
        </w:rPr>
        <w:t>utterance</w:t>
      </w:r>
      <w:proofErr w:type="spellEnd"/>
      <w:r w:rsidR="00EB06B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="00EB06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="00EB06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6B2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="00EB06B2">
        <w:rPr>
          <w:rFonts w:asciiTheme="minorHAnsi" w:hAnsiTheme="minorHAnsi" w:cstheme="minorHAnsi"/>
          <w:sz w:val="22"/>
          <w:szCs w:val="22"/>
        </w:rPr>
        <w:t xml:space="preserve"> subject </w:t>
      </w:r>
      <w:proofErr w:type="spellStart"/>
      <w:r w:rsidR="00691C55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691C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1C55">
        <w:rPr>
          <w:rFonts w:asciiTheme="minorHAnsi" w:hAnsiTheme="minorHAnsi" w:cstheme="minorHAnsi"/>
          <w:sz w:val="22"/>
          <w:szCs w:val="22"/>
        </w:rPr>
        <w:t>revision</w:t>
      </w:r>
      <w:proofErr w:type="spellEnd"/>
      <w:r w:rsidR="0018188A">
        <w:rPr>
          <w:rFonts w:asciiTheme="minorHAnsi" w:hAnsiTheme="minorHAnsi" w:cstheme="minorHAnsi"/>
          <w:sz w:val="22"/>
          <w:szCs w:val="22"/>
        </w:rPr>
        <w:t>, as in (3)</w:t>
      </w:r>
      <w:r w:rsidR="00691C55" w:rsidRPr="00AC12AE">
        <w:rPr>
          <w:rFonts w:asciiTheme="minorHAnsi" w:hAnsiTheme="minorHAnsi" w:cstheme="minorHAnsi"/>
          <w:sz w:val="22"/>
          <w:szCs w:val="22"/>
        </w:rPr>
        <w:t>)</w:t>
      </w:r>
      <w:r w:rsidR="0071523D" w:rsidRPr="00AC12AE">
        <w:rPr>
          <w:rFonts w:asciiTheme="minorHAnsi" w:hAnsiTheme="minorHAnsi" w:cstheme="minorHAnsi"/>
          <w:sz w:val="22"/>
          <w:szCs w:val="22"/>
        </w:rPr>
        <w:t>,</w:t>
      </w:r>
      <w:r w:rsidR="0071523D" w:rsidRPr="007C5D4A">
        <w:rPr>
          <w:rFonts w:asciiTheme="minorHAnsi" w:hAnsiTheme="minorHAnsi" w:cstheme="minorHAnsi"/>
          <w:sz w:val="22"/>
          <w:szCs w:val="22"/>
        </w:rPr>
        <w:t xml:space="preserve"> but </w:t>
      </w:r>
      <w:proofErr w:type="spellStart"/>
      <w:r w:rsidR="00EF50FC">
        <w:rPr>
          <w:rFonts w:asciiTheme="minorHAnsi" w:hAnsiTheme="minorHAnsi" w:cstheme="minorHAnsi"/>
          <w:sz w:val="22"/>
          <w:szCs w:val="22"/>
        </w:rPr>
        <w:t>again</w:t>
      </w:r>
      <w:proofErr w:type="spellEnd"/>
      <w:r w:rsidR="00EF5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523D" w:rsidRPr="007C5D4A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71523D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50FC">
        <w:rPr>
          <w:rFonts w:asciiTheme="minorHAnsi" w:hAnsiTheme="minorHAnsi" w:cstheme="minorHAnsi"/>
          <w:sz w:val="22"/>
          <w:szCs w:val="22"/>
        </w:rPr>
        <w:t>knowledge</w:t>
      </w:r>
      <w:proofErr w:type="spellEnd"/>
      <w:r w:rsidR="00EF50FC" w:rsidRPr="00EF50FC">
        <w:rPr>
          <w:rFonts w:asciiTheme="minorHAnsi" w:hAnsiTheme="minorHAnsi" w:cstheme="minorHAnsi"/>
          <w:sz w:val="22"/>
          <w:szCs w:val="22"/>
        </w:rPr>
        <w:t xml:space="preserve"> </w:t>
      </w:r>
      <w:r w:rsidR="003734B1">
        <w:rPr>
          <w:rFonts w:asciiTheme="minorHAnsi" w:hAnsiTheme="minorHAnsi" w:cstheme="minorHAnsi"/>
          <w:sz w:val="22"/>
          <w:szCs w:val="22"/>
        </w:rPr>
        <w:t xml:space="preserve">of </w:t>
      </w:r>
      <w:proofErr w:type="spellStart"/>
      <w:r w:rsidR="00EF50FC">
        <w:rPr>
          <w:rFonts w:asciiTheme="minorHAnsi" w:hAnsiTheme="minorHAnsi" w:cstheme="minorHAnsi"/>
          <w:sz w:val="22"/>
          <w:szCs w:val="22"/>
        </w:rPr>
        <w:t>a</w:t>
      </w:r>
      <w:r w:rsidR="00691C55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691C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1C55">
        <w:rPr>
          <w:rFonts w:asciiTheme="minorHAnsi" w:hAnsiTheme="minorHAnsi" w:cstheme="minorHAnsi"/>
          <w:sz w:val="22"/>
          <w:szCs w:val="22"/>
        </w:rPr>
        <w:t>unchanging</w:t>
      </w:r>
      <w:proofErr w:type="spellEnd"/>
      <w:r w:rsidR="00691C55">
        <w:rPr>
          <w:rFonts w:asciiTheme="minorHAnsi" w:hAnsiTheme="minorHAnsi" w:cstheme="minorHAnsi"/>
          <w:sz w:val="22"/>
          <w:szCs w:val="22"/>
        </w:rPr>
        <w:t>,</w:t>
      </w:r>
      <w:r w:rsidR="00EF5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50FC" w:rsidRPr="007C5D4A">
        <w:rPr>
          <w:rFonts w:asciiTheme="minorHAnsi" w:hAnsiTheme="minorHAnsi" w:cstheme="minorHAnsi"/>
          <w:sz w:val="22"/>
          <w:szCs w:val="22"/>
        </w:rPr>
        <w:t>stereotypical</w:t>
      </w:r>
      <w:proofErr w:type="spellEnd"/>
      <w:r w:rsidR="00EF50FC" w:rsidRPr="007C5D4A">
        <w:rPr>
          <w:rFonts w:asciiTheme="minorHAnsi" w:hAnsiTheme="minorHAnsi" w:cstheme="minorHAnsi"/>
          <w:sz w:val="22"/>
          <w:szCs w:val="22"/>
        </w:rPr>
        <w:t xml:space="preserve"> course of events</w:t>
      </w:r>
      <w:r w:rsidR="0089090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90906"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 w:rsidR="00590C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0CF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590C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0CFD">
        <w:rPr>
          <w:rFonts w:asciiTheme="minorHAnsi" w:hAnsiTheme="minorHAnsi" w:cstheme="minorHAnsi"/>
          <w:sz w:val="22"/>
          <w:szCs w:val="22"/>
        </w:rPr>
        <w:t>some</w:t>
      </w:r>
      <w:proofErr w:type="spellEnd"/>
      <w:r w:rsidR="00590C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0CFD">
        <w:rPr>
          <w:rFonts w:asciiTheme="minorHAnsi" w:hAnsiTheme="minorHAnsi" w:cstheme="minorHAnsi"/>
          <w:sz w:val="22"/>
          <w:szCs w:val="22"/>
        </w:rPr>
        <w:t>extent</w:t>
      </w:r>
      <w:proofErr w:type="spellEnd"/>
      <w:r w:rsidR="008909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3DA6">
        <w:rPr>
          <w:rFonts w:asciiTheme="minorHAnsi" w:hAnsiTheme="minorHAnsi" w:cstheme="minorHAnsi"/>
          <w:sz w:val="22"/>
          <w:szCs w:val="22"/>
        </w:rPr>
        <w:t>established</w:t>
      </w:r>
      <w:proofErr w:type="spellEnd"/>
      <w:r w:rsidR="00593DA6" w:rsidRPr="007C5D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0906">
        <w:rPr>
          <w:rFonts w:asciiTheme="minorHAnsi" w:hAnsiTheme="minorHAnsi" w:cstheme="minorHAnsi"/>
          <w:sz w:val="22"/>
          <w:szCs w:val="22"/>
        </w:rPr>
        <w:t>knowledge</w:t>
      </w:r>
      <w:proofErr w:type="spellEnd"/>
      <w:r w:rsidR="008909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523D" w:rsidRPr="007C5D4A">
        <w:rPr>
          <w:rFonts w:asciiTheme="minorHAnsi" w:hAnsiTheme="minorHAnsi" w:cstheme="minorHAnsi"/>
          <w:sz w:val="22"/>
          <w:szCs w:val="22"/>
        </w:rPr>
        <w:t>within</w:t>
      </w:r>
      <w:proofErr w:type="spellEnd"/>
      <w:r w:rsidR="0071523D" w:rsidRPr="007C5D4A">
        <w:rPr>
          <w:rFonts w:asciiTheme="minorHAnsi" w:hAnsiTheme="minorHAnsi" w:cstheme="minorHAnsi"/>
          <w:sz w:val="22"/>
          <w:szCs w:val="22"/>
        </w:rPr>
        <w:t xml:space="preserve"> a speech community. </w:t>
      </w:r>
    </w:p>
    <w:p w14:paraId="4D2A253D" w14:textId="4B9B368F" w:rsidR="00AC12AE" w:rsidRDefault="00590CFD" w:rsidP="00E75482">
      <w:pPr>
        <w:tabs>
          <w:tab w:val="num" w:pos="720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C22F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>All</w:t>
      </w:r>
      <w:proofErr w:type="spellEnd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>bags</w:t>
      </w:r>
      <w:proofErr w:type="spellEnd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 xml:space="preserve"> have been </w:t>
      </w:r>
      <w:proofErr w:type="spellStart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>loaded</w:t>
      </w:r>
      <w:proofErr w:type="spellEnd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>conveyor</w:t>
      </w:r>
      <w:proofErr w:type="spellEnd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CC22FC" w:rsidRPr="008537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can</w:t>
      </w:r>
      <w:proofErr w:type="spellEnd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>now</w:t>
      </w:r>
      <w:proofErr w:type="spellEnd"/>
      <w:r w:rsidR="00CC22FC" w:rsidRPr="00CC22FC">
        <w:rPr>
          <w:rFonts w:asciiTheme="minorHAnsi" w:hAnsiTheme="minorHAnsi" w:cstheme="minorHAnsi"/>
          <w:i/>
          <w:iCs/>
          <w:sz w:val="22"/>
          <w:szCs w:val="22"/>
        </w:rPr>
        <w:t xml:space="preserve"> start</w:t>
      </w:r>
      <w:r w:rsidR="00CC22FC">
        <w:rPr>
          <w:rFonts w:asciiTheme="minorHAnsi" w:hAnsiTheme="minorHAnsi" w:cstheme="minorHAnsi"/>
          <w:sz w:val="22"/>
          <w:szCs w:val="22"/>
        </w:rPr>
        <w:t>.</w:t>
      </w:r>
    </w:p>
    <w:p w14:paraId="14211402" w14:textId="71199B09" w:rsidR="00590CFD" w:rsidRDefault="0018188A" w:rsidP="00E75482">
      <w:p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(3)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My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friends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8188A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have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missed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train – no,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they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just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messaged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they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still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caught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it.</w:t>
      </w:r>
    </w:p>
    <w:p w14:paraId="76E5B92E" w14:textId="3A013A7D" w:rsidR="00BE5160" w:rsidRDefault="00032C9E" w:rsidP="003822FB">
      <w:pPr>
        <w:tabs>
          <w:tab w:val="num" w:pos="720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Timeless modals</w:t>
      </w:r>
      <w:r w:rsidR="00290433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have indeed been discussed in the literature under the various labels 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“general situational possibilit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y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” (</w:t>
      </w:r>
      <w:proofErr w:type="spellStart"/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Depraetere</w:t>
      </w:r>
      <w:proofErr w:type="spellEnd"/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&amp; Reed 2011)</w:t>
      </w:r>
      <w:r w:rsidR="00290433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"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objective epistemic modality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"</w:t>
      </w:r>
      <w:r w:rsidR="00290433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(</w:t>
      </w:r>
      <w:r w:rsidR="007C5D4A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e.g. von </w:t>
      </w:r>
      <w:proofErr w:type="spellStart"/>
      <w:r w:rsidR="007C5D4A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Fintel</w:t>
      </w:r>
      <w:proofErr w:type="spellEnd"/>
      <w:r w:rsidR="007C5D4A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&amp; Gillies 2011</w:t>
      </w:r>
      <w:r w:rsidR="00290433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), 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"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dispositional modality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"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(</w:t>
      </w:r>
      <w:r w:rsidR="007C5D4A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e.g. 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Menéndez-Benito 2013</w:t>
      </w:r>
      <w:r w:rsidR="00290433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; 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Cohen </w:t>
      </w:r>
      <w:r w:rsidR="007C5D4A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2018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)</w:t>
      </w:r>
      <w:r w:rsidR="00290433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and 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"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alethic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(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stochasti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c/</w:t>
      </w:r>
      <w:r w:rsidR="00211764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chance) 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modality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"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(</w:t>
      </w:r>
      <w:r w:rsidR="009B2DFC">
        <w:rPr>
          <w:rFonts w:asciiTheme="minorHAnsi" w:hAnsiTheme="minorHAnsi" w:cstheme="minorHAnsi"/>
          <w:sz w:val="22"/>
          <w:szCs w:val="22"/>
        </w:rPr>
        <w:t>e.g.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E75482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Ülkümen</w:t>
      </w:r>
      <w:proofErr w:type="spellEnd"/>
      <w:r w:rsidR="00E75482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et al</w:t>
      </w:r>
      <w:r w:rsidR="00AC12AE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20</w:t>
      </w:r>
      <w:r w:rsidR="00E75482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16</w:t>
      </w:r>
      <w:r w:rsidR="00852AF3" w:rsidRPr="00852AF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)</w:t>
      </w:r>
      <w:r w:rsidR="00E671ED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. </w:t>
      </w:r>
      <w:r w:rsidR="00572D60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The study of language-specific apprehensive modals promises to enable </w:t>
      </w:r>
      <w:r w:rsidR="0007400B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both </w:t>
      </w:r>
      <w:r w:rsidR="00572D60" w:rsidRPr="007C5D4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a clearer definition of these debated concepts and the incorporation of "timeless" modals into mainstream categorisations of modality.</w:t>
      </w:r>
    </w:p>
    <w:p w14:paraId="5CCF86EE" w14:textId="77777777" w:rsidR="003822FB" w:rsidRPr="003822FB" w:rsidRDefault="003822FB" w:rsidP="003822FB">
      <w:pPr>
        <w:tabs>
          <w:tab w:val="num" w:pos="720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607C65B1" w14:textId="7AC687A7" w:rsidR="006067A7" w:rsidRPr="00BE5160" w:rsidRDefault="006067A7" w:rsidP="006067A7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</w:pPr>
      <w:r w:rsidRPr="00BE5160"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  <w:lastRenderedPageBreak/>
        <w:t>References</w:t>
      </w:r>
    </w:p>
    <w:p w14:paraId="1B1744DA" w14:textId="0B5E4310" w:rsidR="00AC12AE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Abusch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,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Dorit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(2012), Circumstantial and Temporal Dependence in Counterfactual Modals. </w:t>
      </w:r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Natural Language Semantics, 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20(3)</w:t>
      </w:r>
      <w:r w:rsidR="0069573C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273-297. </w:t>
      </w:r>
    </w:p>
    <w:p w14:paraId="143D589B" w14:textId="1BA07447" w:rsidR="0069573C" w:rsidRPr="00BE5160" w:rsidRDefault="0069573C" w:rsidP="00C22C1A">
      <w:pPr>
        <w:pStyle w:val="EndNoteBibliography"/>
        <w:spacing w:after="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BE5160">
        <w:rPr>
          <w:rFonts w:asciiTheme="minorHAnsi" w:hAnsiTheme="minorHAnsi" w:cstheme="minorHAnsi"/>
          <w:sz w:val="22"/>
          <w:szCs w:val="22"/>
          <w:lang w:val="en-GB"/>
        </w:rPr>
        <w:t>Angelo, Denise and Eva Schultze-Berndt (</w:t>
      </w:r>
      <w:r w:rsidRPr="00BE5160">
        <w:rPr>
          <w:rFonts w:asciiTheme="minorHAnsi" w:hAnsiTheme="minorHAnsi" w:cstheme="minorHAnsi"/>
          <w:sz w:val="22"/>
          <w:szCs w:val="22"/>
        </w:rPr>
        <w:t xml:space="preserve">2016), Beware bambai – lest it be apprehensive. In F. Meakins &amp; C. O'Shannessy (eds.), </w:t>
      </w:r>
      <w:r w:rsidRPr="00BE5160">
        <w:rPr>
          <w:rFonts w:asciiTheme="minorHAnsi" w:hAnsiTheme="minorHAnsi" w:cstheme="minorHAnsi"/>
          <w:i/>
          <w:sz w:val="22"/>
          <w:szCs w:val="22"/>
        </w:rPr>
        <w:t xml:space="preserve">Loss and Renewal: Australian languages since contact, </w:t>
      </w:r>
      <w:r w:rsidRPr="00BE5160">
        <w:rPr>
          <w:rFonts w:asciiTheme="minorHAnsi" w:hAnsiTheme="minorHAnsi" w:cstheme="minorHAnsi"/>
          <w:sz w:val="22"/>
          <w:szCs w:val="22"/>
        </w:rPr>
        <w:t>Berlin: Mouton de Gruyter, 255</w:t>
      </w:r>
      <w:r w:rsidR="006D02E0">
        <w:rPr>
          <w:rFonts w:asciiTheme="minorHAnsi" w:hAnsiTheme="minorHAnsi" w:cstheme="minorHAnsi"/>
          <w:sz w:val="22"/>
          <w:szCs w:val="22"/>
        </w:rPr>
        <w:t>-</w:t>
      </w:r>
      <w:r w:rsidRPr="00BE5160">
        <w:rPr>
          <w:rFonts w:asciiTheme="minorHAnsi" w:hAnsiTheme="minorHAnsi" w:cstheme="minorHAnsi"/>
          <w:sz w:val="22"/>
          <w:szCs w:val="22"/>
        </w:rPr>
        <w:t>296.</w:t>
      </w:r>
    </w:p>
    <w:p w14:paraId="13CE1D78" w14:textId="18FF342A" w:rsidR="0069573C" w:rsidRPr="00BE5160" w:rsidRDefault="0069573C" w:rsidP="00C22C1A">
      <w:pPr>
        <w:pStyle w:val="Bibliography"/>
        <w:spacing w:before="20"/>
        <w:ind w:left="426" w:hanging="437"/>
        <w:rPr>
          <w:rFonts w:asciiTheme="minorHAnsi" w:hAnsiTheme="minorHAnsi" w:cstheme="minorHAnsi"/>
          <w:sz w:val="22"/>
          <w:szCs w:val="22"/>
        </w:rPr>
      </w:pPr>
      <w:proofErr w:type="spellStart"/>
      <w:r w:rsidRPr="00BE5160">
        <w:rPr>
          <w:rFonts w:asciiTheme="minorHAnsi" w:hAnsiTheme="minorHAnsi" w:cstheme="minorHAnsi"/>
          <w:sz w:val="22"/>
          <w:szCs w:val="22"/>
        </w:rPr>
        <w:t>Boogart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, Ronny (2009), Een retorische straks-constructie. 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['A rhetorical </w:t>
      </w:r>
      <w:proofErr w:type="spellStart"/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straks</w:t>
      </w:r>
      <w:proofErr w:type="spellEnd"/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-construction']. </w:t>
      </w:r>
      <w:r w:rsidRPr="00BE5160">
        <w:rPr>
          <w:rFonts w:asciiTheme="minorHAnsi" w:hAnsiTheme="minorHAnsi" w:cstheme="minorHAnsi"/>
          <w:sz w:val="22"/>
          <w:szCs w:val="22"/>
        </w:rPr>
        <w:t xml:space="preserve">In </w:t>
      </w:r>
      <w:r w:rsidR="002C077F" w:rsidRPr="00BE5160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Boogart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, </w:t>
      </w:r>
      <w:r w:rsidR="002C077F" w:rsidRPr="00BE5160">
        <w:rPr>
          <w:rFonts w:asciiTheme="minorHAnsi" w:hAnsiTheme="minorHAnsi" w:cstheme="minorHAnsi"/>
          <w:sz w:val="22"/>
          <w:szCs w:val="22"/>
        </w:rPr>
        <w:t>M.</w:t>
      </w:r>
      <w:r w:rsidRPr="00BE5160">
        <w:rPr>
          <w:rFonts w:asciiTheme="minorHAnsi" w:hAnsiTheme="minorHAnsi" w:cstheme="minorHAnsi"/>
          <w:sz w:val="22"/>
          <w:szCs w:val="22"/>
        </w:rPr>
        <w:t xml:space="preserve"> Mooijaart</w:t>
      </w:r>
      <w:r w:rsidR="002C077F" w:rsidRPr="00BE51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077F" w:rsidRPr="00BE5160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2C077F" w:rsidRPr="00BE5160">
        <w:rPr>
          <w:rFonts w:asciiTheme="minorHAnsi" w:hAnsiTheme="minorHAnsi" w:cstheme="minorHAnsi"/>
          <w:sz w:val="22"/>
          <w:szCs w:val="22"/>
        </w:rPr>
        <w:t xml:space="preserve"> M. van der</w:t>
      </w:r>
      <w:r w:rsidRPr="00BE5160">
        <w:rPr>
          <w:rFonts w:asciiTheme="minorHAnsi" w:hAnsiTheme="minorHAnsi" w:cstheme="minorHAnsi"/>
          <w:sz w:val="22"/>
          <w:szCs w:val="22"/>
        </w:rPr>
        <w:t xml:space="preserve"> Wal</w:t>
      </w:r>
      <w:r w:rsidR="002C077F" w:rsidRPr="00BE5160">
        <w:rPr>
          <w:rFonts w:asciiTheme="minorHAnsi" w:hAnsiTheme="minorHAnsi" w:cstheme="minorHAnsi"/>
          <w:sz w:val="22"/>
          <w:szCs w:val="22"/>
        </w:rPr>
        <w:t xml:space="preserve"> </w:t>
      </w:r>
      <w:r w:rsidRPr="00BE516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eds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.), </w:t>
      </w:r>
      <w:r w:rsidRPr="00BE5160">
        <w:rPr>
          <w:rFonts w:asciiTheme="minorHAnsi" w:hAnsiTheme="minorHAnsi" w:cstheme="minorHAnsi"/>
          <w:i/>
          <w:iCs/>
          <w:sz w:val="22"/>
          <w:szCs w:val="22"/>
        </w:rPr>
        <w:t>Woorden wisselen. Voor Ariane van Santen bij haar afscheid van de Leidse universiteit</w:t>
      </w:r>
      <w:r w:rsidRPr="00BE5160">
        <w:rPr>
          <w:rFonts w:asciiTheme="minorHAnsi" w:hAnsiTheme="minorHAnsi" w:cstheme="minorHAnsi"/>
          <w:sz w:val="22"/>
          <w:szCs w:val="22"/>
        </w:rPr>
        <w:t>, 167</w:t>
      </w:r>
      <w:r w:rsidR="006D02E0">
        <w:rPr>
          <w:rFonts w:asciiTheme="minorHAnsi" w:hAnsiTheme="minorHAnsi" w:cstheme="minorHAnsi"/>
          <w:sz w:val="22"/>
          <w:szCs w:val="22"/>
        </w:rPr>
        <w:t>-</w:t>
      </w:r>
      <w:r w:rsidRPr="00BE5160">
        <w:rPr>
          <w:rFonts w:asciiTheme="minorHAnsi" w:hAnsiTheme="minorHAnsi" w:cstheme="minorHAnsi"/>
          <w:sz w:val="22"/>
          <w:szCs w:val="22"/>
        </w:rPr>
        <w:t xml:space="preserve">183. Stichting Neerlandistiek Leiden. </w:t>
      </w:r>
    </w:p>
    <w:p w14:paraId="52760226" w14:textId="4501FA1A" w:rsidR="0069573C" w:rsidRPr="00BE5160" w:rsidRDefault="0069573C" w:rsidP="00C22C1A">
      <w:pPr>
        <w:pStyle w:val="Bibliography"/>
        <w:spacing w:before="20"/>
        <w:ind w:left="426" w:hanging="437"/>
        <w:rPr>
          <w:rFonts w:asciiTheme="minorHAnsi" w:hAnsiTheme="minorHAnsi" w:cstheme="minorHAnsi"/>
          <w:sz w:val="22"/>
          <w:szCs w:val="22"/>
        </w:rPr>
      </w:pPr>
      <w:proofErr w:type="spellStart"/>
      <w:r w:rsidRPr="00BE5160">
        <w:rPr>
          <w:rFonts w:asciiTheme="minorHAnsi" w:hAnsiTheme="minorHAnsi" w:cstheme="minorHAnsi"/>
          <w:sz w:val="22"/>
          <w:szCs w:val="22"/>
        </w:rPr>
        <w:t>Boogart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, Ronny (2020),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Expressives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argumentation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. The case of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apprehensive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 </w:t>
      </w:r>
      <w:r w:rsidRPr="00BE5160">
        <w:rPr>
          <w:rFonts w:asciiTheme="minorHAnsi" w:hAnsiTheme="minorHAnsi" w:cstheme="minorHAnsi"/>
          <w:i/>
          <w:iCs/>
          <w:sz w:val="22"/>
          <w:szCs w:val="22"/>
        </w:rPr>
        <w:t>straks</w:t>
      </w:r>
      <w:r w:rsidRPr="00BE5160">
        <w:rPr>
          <w:rFonts w:asciiTheme="minorHAnsi" w:hAnsiTheme="minorHAnsi" w:cstheme="minorHAnsi"/>
          <w:sz w:val="22"/>
          <w:szCs w:val="22"/>
        </w:rPr>
        <w:t xml:space="preserve"> ('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shortly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’) in Dutch. In </w:t>
      </w:r>
      <w:proofErr w:type="spellStart"/>
      <w:r w:rsidR="002C077F" w:rsidRPr="00BE5160">
        <w:rPr>
          <w:rFonts w:asciiTheme="minorHAnsi" w:hAnsiTheme="minorHAnsi" w:cstheme="minorHAnsi"/>
          <w:sz w:val="22"/>
          <w:szCs w:val="22"/>
        </w:rPr>
        <w:t xml:space="preserve">F. 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van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Eemeren</w:t>
      </w:r>
      <w:proofErr w:type="spellEnd"/>
      <w:r w:rsidR="002C077F" w:rsidRPr="00BE51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077F" w:rsidRPr="00BE5160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2C077F" w:rsidRPr="00BE5160">
        <w:rPr>
          <w:rFonts w:asciiTheme="minorHAnsi" w:hAnsiTheme="minorHAnsi" w:cstheme="minorHAnsi"/>
          <w:sz w:val="22"/>
          <w:szCs w:val="22"/>
        </w:rPr>
        <w:t xml:space="preserve"> B.</w:t>
      </w:r>
      <w:r w:rsidRPr="00BE5160">
        <w:rPr>
          <w:rFonts w:asciiTheme="minorHAnsi" w:hAnsiTheme="minorHAnsi" w:cstheme="minorHAnsi"/>
          <w:sz w:val="22"/>
          <w:szCs w:val="22"/>
        </w:rPr>
        <w:t xml:space="preserve"> Garssen</w:t>
      </w:r>
      <w:r w:rsidR="002C077F" w:rsidRPr="00BE5160">
        <w:rPr>
          <w:rFonts w:asciiTheme="minorHAnsi" w:hAnsiTheme="minorHAnsi" w:cstheme="minorHAnsi"/>
          <w:sz w:val="22"/>
          <w:szCs w:val="22"/>
        </w:rPr>
        <w:t xml:space="preserve"> </w:t>
      </w:r>
      <w:r w:rsidRPr="00BE516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eds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.),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From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argument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schemes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to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argumentative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relations in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wild: A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variety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of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contributions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to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argumentation</w:t>
      </w:r>
      <w:proofErr w:type="spellEnd"/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5160">
        <w:rPr>
          <w:rFonts w:asciiTheme="minorHAnsi" w:hAnsiTheme="minorHAnsi" w:cstheme="minorHAnsi"/>
          <w:i/>
          <w:iCs/>
          <w:sz w:val="22"/>
          <w:szCs w:val="22"/>
        </w:rPr>
        <w:t>theory</w:t>
      </w:r>
      <w:proofErr w:type="spellEnd"/>
      <w:r w:rsidR="002C077F" w:rsidRPr="00BE5160">
        <w:rPr>
          <w:rFonts w:asciiTheme="minorHAnsi" w:hAnsiTheme="minorHAnsi" w:cstheme="minorHAnsi"/>
          <w:sz w:val="22"/>
          <w:szCs w:val="22"/>
        </w:rPr>
        <w:t>,</w:t>
      </w:r>
      <w:r w:rsidRPr="00BE51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077F" w:rsidRPr="00BE5160">
        <w:rPr>
          <w:rFonts w:asciiTheme="minorHAnsi" w:hAnsiTheme="minorHAnsi" w:cstheme="minorHAnsi"/>
          <w:sz w:val="22"/>
          <w:szCs w:val="22"/>
        </w:rPr>
        <w:t>Cham</w:t>
      </w:r>
      <w:proofErr w:type="spellEnd"/>
      <w:r w:rsidR="002C077F" w:rsidRPr="00BE5160">
        <w:rPr>
          <w:rFonts w:asciiTheme="minorHAnsi" w:hAnsiTheme="minorHAnsi" w:cstheme="minorHAnsi"/>
          <w:sz w:val="22"/>
          <w:szCs w:val="22"/>
        </w:rPr>
        <w:t xml:space="preserve">: </w:t>
      </w:r>
      <w:r w:rsidRPr="00BE5160">
        <w:rPr>
          <w:rFonts w:asciiTheme="minorHAnsi" w:hAnsiTheme="minorHAnsi" w:cstheme="minorHAnsi"/>
          <w:sz w:val="22"/>
          <w:szCs w:val="22"/>
        </w:rPr>
        <w:t>Springer</w:t>
      </w:r>
      <w:r w:rsidR="002C077F" w:rsidRPr="00BE5160">
        <w:rPr>
          <w:rFonts w:asciiTheme="minorHAnsi" w:hAnsiTheme="minorHAnsi" w:cstheme="minorHAnsi"/>
          <w:sz w:val="22"/>
          <w:szCs w:val="22"/>
        </w:rPr>
        <w:t xml:space="preserve"> Nature Switzerland, 167</w:t>
      </w:r>
      <w:r w:rsidR="006D02E0">
        <w:rPr>
          <w:rFonts w:asciiTheme="minorHAnsi" w:hAnsiTheme="minorHAnsi" w:cstheme="minorHAnsi"/>
          <w:sz w:val="22"/>
          <w:szCs w:val="22"/>
        </w:rPr>
        <w:t>-</w:t>
      </w:r>
      <w:r w:rsidR="002C077F" w:rsidRPr="00BE5160">
        <w:rPr>
          <w:rFonts w:asciiTheme="minorHAnsi" w:hAnsiTheme="minorHAnsi" w:cstheme="minorHAnsi"/>
          <w:sz w:val="22"/>
          <w:szCs w:val="22"/>
        </w:rPr>
        <w:t>183.</w:t>
      </w:r>
    </w:p>
    <w:p w14:paraId="745738BA" w14:textId="77777777" w:rsidR="007C2ECB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hAnsiTheme="minorHAnsi" w:cstheme="minorHAnsi"/>
          <w:sz w:val="22"/>
          <w:szCs w:val="22"/>
        </w:rPr>
      </w:pPr>
      <w:r w:rsidRPr="00BE5160">
        <w:rPr>
          <w:rFonts w:asciiTheme="minorHAnsi" w:hAnsiTheme="minorHAnsi" w:cstheme="minorHAnsi"/>
          <w:sz w:val="22"/>
          <w:szCs w:val="22"/>
        </w:rPr>
        <w:t xml:space="preserve">Cohen,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Ariel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 (2018)</w:t>
      </w:r>
      <w:r w:rsidR="0069573C" w:rsidRPr="00BE5160">
        <w:rPr>
          <w:rFonts w:asciiTheme="minorHAnsi" w:hAnsiTheme="minorHAnsi" w:cstheme="minorHAnsi"/>
          <w:sz w:val="22"/>
          <w:szCs w:val="22"/>
        </w:rPr>
        <w:t>,</w:t>
      </w:r>
      <w:r w:rsidRPr="00BE5160">
        <w:rPr>
          <w:rFonts w:asciiTheme="minorHAnsi" w:hAnsiTheme="minorHAnsi" w:cstheme="minorHAnsi"/>
          <w:sz w:val="22"/>
          <w:szCs w:val="22"/>
        </w:rPr>
        <w:t xml:space="preserve"> The square of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disposition</w:t>
      </w:r>
      <w:proofErr w:type="spellEnd"/>
      <w:r w:rsidR="002C077F" w:rsidRPr="00BE5160">
        <w:rPr>
          <w:rFonts w:asciiTheme="minorHAnsi" w:hAnsiTheme="minorHAnsi" w:cstheme="minorHAnsi"/>
          <w:sz w:val="22"/>
          <w:szCs w:val="22"/>
        </w:rPr>
        <w:t>,</w:t>
      </w:r>
      <w:r w:rsidRPr="00BE5160">
        <w:rPr>
          <w:rFonts w:asciiTheme="minorHAnsi" w:hAnsiTheme="minorHAnsi" w:cstheme="minorHAnsi"/>
          <w:sz w:val="22"/>
          <w:szCs w:val="22"/>
        </w:rPr>
        <w:t xml:space="preserve"> </w:t>
      </w:r>
      <w:r w:rsidRPr="00BE5160">
        <w:rPr>
          <w:rFonts w:asciiTheme="minorHAnsi" w:hAnsiTheme="minorHAnsi" w:cstheme="minorHAnsi"/>
          <w:i/>
          <w:iCs/>
          <w:sz w:val="22"/>
          <w:szCs w:val="22"/>
        </w:rPr>
        <w:t>Glossa</w:t>
      </w:r>
      <w:r w:rsidRPr="00BE5160">
        <w:rPr>
          <w:rFonts w:asciiTheme="minorHAnsi" w:hAnsiTheme="minorHAnsi" w:cstheme="minorHAnsi"/>
          <w:sz w:val="22"/>
          <w:szCs w:val="22"/>
        </w:rPr>
        <w:t xml:space="preserve"> 3(1)</w:t>
      </w:r>
      <w:r w:rsidR="0069573C" w:rsidRPr="00BE5160">
        <w:rPr>
          <w:rFonts w:asciiTheme="minorHAnsi" w:hAnsiTheme="minorHAnsi" w:cstheme="minorHAnsi"/>
          <w:sz w:val="22"/>
          <w:szCs w:val="22"/>
        </w:rPr>
        <w:t>, Art.</w:t>
      </w:r>
      <w:r w:rsidRPr="00BE5160">
        <w:rPr>
          <w:rFonts w:asciiTheme="minorHAnsi" w:hAnsiTheme="minorHAnsi" w:cstheme="minorHAnsi"/>
          <w:sz w:val="22"/>
          <w:szCs w:val="22"/>
        </w:rPr>
        <w:t xml:space="preserve"> 90</w:t>
      </w:r>
      <w:r w:rsidR="0069573C" w:rsidRPr="00BE5160">
        <w:rPr>
          <w:rFonts w:asciiTheme="minorHAnsi" w:hAnsiTheme="minorHAnsi" w:cstheme="minorHAnsi"/>
          <w:sz w:val="22"/>
          <w:szCs w:val="22"/>
        </w:rPr>
        <w:t>,</w:t>
      </w:r>
      <w:r w:rsidRPr="00BE5160">
        <w:rPr>
          <w:rFonts w:asciiTheme="minorHAnsi" w:hAnsiTheme="minorHAnsi" w:cstheme="minorHAnsi"/>
          <w:sz w:val="22"/>
          <w:szCs w:val="22"/>
        </w:rPr>
        <w:t xml:space="preserve"> 1</w:t>
      </w:r>
      <w:r w:rsidR="0069573C" w:rsidRPr="00BE5160">
        <w:rPr>
          <w:rFonts w:asciiTheme="minorHAnsi" w:hAnsiTheme="minorHAnsi" w:cstheme="minorHAnsi"/>
          <w:sz w:val="22"/>
          <w:szCs w:val="22"/>
        </w:rPr>
        <w:t>-</w:t>
      </w:r>
      <w:r w:rsidRPr="00BE5160">
        <w:rPr>
          <w:rFonts w:asciiTheme="minorHAnsi" w:hAnsiTheme="minorHAnsi" w:cstheme="minorHAnsi"/>
          <w:sz w:val="22"/>
          <w:szCs w:val="22"/>
        </w:rPr>
        <w:t>19</w:t>
      </w:r>
      <w:r w:rsidR="00DA65CB" w:rsidRPr="00BE5160">
        <w:rPr>
          <w:rFonts w:asciiTheme="minorHAnsi" w:hAnsiTheme="minorHAnsi" w:cstheme="minorHAnsi"/>
          <w:sz w:val="22"/>
          <w:szCs w:val="22"/>
        </w:rPr>
        <w:t>.</w:t>
      </w:r>
    </w:p>
    <w:p w14:paraId="05C278A8" w14:textId="489B3C88" w:rsidR="007C2ECB" w:rsidRPr="00BE5160" w:rsidRDefault="007C2ECB" w:rsidP="00C22C1A">
      <w:pPr>
        <w:autoSpaceDE w:val="0"/>
        <w:autoSpaceDN w:val="0"/>
        <w:adjustRightInd w:val="0"/>
        <w:ind w:left="568" w:hanging="582"/>
        <w:rPr>
          <w:rFonts w:asciiTheme="minorHAnsi" w:hAnsiTheme="minorHAnsi" w:cstheme="minorHAnsi"/>
          <w:sz w:val="22"/>
          <w:szCs w:val="22"/>
        </w:rPr>
      </w:pPr>
      <w:proofErr w:type="spellStart"/>
      <w:r w:rsidRPr="00BE5160">
        <w:rPr>
          <w:rFonts w:asciiTheme="minorHAnsi" w:hAnsiTheme="minorHAnsi" w:cstheme="minorHAnsi"/>
          <w:sz w:val="22"/>
          <w:szCs w:val="22"/>
        </w:rPr>
        <w:t>Depraetere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, Ilse &amp; Susan Reed (2011), </w:t>
      </w:r>
      <w:proofErr w:type="spellStart"/>
      <w:r w:rsidRPr="00BE5160">
        <w:rPr>
          <w:rFonts w:asciiTheme="minorHAnsi" w:hAnsiTheme="minorHAnsi" w:cstheme="minorHAnsi"/>
          <w:sz w:val="22"/>
          <w:szCs w:val="22"/>
        </w:rPr>
        <w:t>Towards</w:t>
      </w:r>
      <w:proofErr w:type="spellEnd"/>
      <w:r w:rsidRPr="00BE5160">
        <w:rPr>
          <w:rFonts w:asciiTheme="minorHAnsi" w:hAnsiTheme="minorHAnsi" w:cstheme="minorHAnsi"/>
          <w:sz w:val="22"/>
          <w:szCs w:val="22"/>
        </w:rPr>
        <w:t xml:space="preserve"> a more explicit taxonomy of root possibility. </w:t>
      </w:r>
      <w:r w:rsidRPr="00BE5160">
        <w:rPr>
          <w:rFonts w:asciiTheme="minorHAnsi" w:hAnsiTheme="minorHAnsi" w:cstheme="minorHAnsi"/>
          <w:i/>
          <w:iCs/>
          <w:sz w:val="22"/>
          <w:szCs w:val="22"/>
        </w:rPr>
        <w:t xml:space="preserve">English Language and Linguistics </w:t>
      </w:r>
      <w:r w:rsidRPr="00BE5160">
        <w:rPr>
          <w:rFonts w:asciiTheme="minorHAnsi" w:hAnsiTheme="minorHAnsi" w:cstheme="minorHAnsi"/>
          <w:sz w:val="22"/>
          <w:szCs w:val="22"/>
        </w:rPr>
        <w:t>15(1)</w:t>
      </w:r>
      <w:r w:rsidR="006D02E0">
        <w:rPr>
          <w:rFonts w:asciiTheme="minorHAnsi" w:hAnsiTheme="minorHAnsi" w:cstheme="minorHAnsi"/>
          <w:sz w:val="22"/>
          <w:szCs w:val="22"/>
        </w:rPr>
        <w:t>,</w:t>
      </w:r>
      <w:r w:rsidRPr="00BE5160">
        <w:rPr>
          <w:rFonts w:asciiTheme="minorHAnsi" w:hAnsiTheme="minorHAnsi" w:cstheme="minorHAnsi"/>
          <w:sz w:val="22"/>
          <w:szCs w:val="22"/>
        </w:rPr>
        <w:t xml:space="preserve"> 1</w:t>
      </w:r>
      <w:r w:rsidR="006D02E0">
        <w:rPr>
          <w:rFonts w:asciiTheme="minorHAnsi" w:hAnsiTheme="minorHAnsi" w:cstheme="minorHAnsi"/>
          <w:sz w:val="22"/>
          <w:szCs w:val="22"/>
        </w:rPr>
        <w:t>-</w:t>
      </w:r>
      <w:r w:rsidRPr="00BE5160">
        <w:rPr>
          <w:rFonts w:asciiTheme="minorHAnsi" w:hAnsiTheme="minorHAnsi" w:cstheme="minorHAnsi"/>
          <w:sz w:val="22"/>
          <w:szCs w:val="22"/>
        </w:rPr>
        <w:t xml:space="preserve">29. </w:t>
      </w:r>
    </w:p>
    <w:p w14:paraId="60616647" w14:textId="7DF175F5" w:rsidR="00AC12AE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Dobrushina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, Nina (2006),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Grammaticheskie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formy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i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konstrukcii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so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znacheniem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opasenija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i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predosterezhenija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[Grammatical forms expressing warning and apprehension]. </w:t>
      </w:r>
      <w:proofErr w:type="spellStart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Voprosy</w:t>
      </w:r>
      <w:proofErr w:type="spellEnd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jazykoznanija</w:t>
      </w:r>
      <w:proofErr w:type="spellEnd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 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2</w:t>
      </w:r>
      <w:r w:rsidR="0069573C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28–67. </w:t>
      </w:r>
    </w:p>
    <w:p w14:paraId="139DAC01" w14:textId="4D332951" w:rsidR="00AC12AE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Kratzer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Angelika (1991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),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Modality. In A. v.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Stechow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and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D. Wunderlich (eds.), </w:t>
      </w:r>
      <w:proofErr w:type="spellStart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Semantik</w:t>
      </w:r>
      <w:proofErr w:type="spellEnd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 / Semantics. An International Handbook of Contemporary Research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Berlin: Mouton de Gruyter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639-650.</w:t>
      </w:r>
    </w:p>
    <w:p w14:paraId="7B4E79D5" w14:textId="0CEF6EF4" w:rsidR="00AC12AE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Lichtenberk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Frantisek (1995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),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Apprehensional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epistemics. In J. Bybee 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and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S. Fleischman (eds.), </w:t>
      </w:r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Modality in grammar and discours</w:t>
      </w:r>
      <w:r w:rsidR="002C077F"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e,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Amsterdam: John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Benjamins</w:t>
      </w:r>
      <w:proofErr w:type="spellEnd"/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293</w:t>
      </w:r>
      <w:r w:rsidR="006D02E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-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328.</w:t>
      </w:r>
    </w:p>
    <w:p w14:paraId="0CA4DD5D" w14:textId="4BE60FB0" w:rsidR="00AC12AE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Menéndez-Benito, Paula (2013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),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On dispositional sentences. In A. Mari, C.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Beyssade</w:t>
      </w:r>
      <w:proofErr w:type="spellEnd"/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and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F. Del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Prete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(eds.), </w:t>
      </w:r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Genericity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, 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Oxford: Oxford University Press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276</w:t>
      </w:r>
      <w:r w:rsidR="006D02E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-</w:t>
      </w:r>
      <w:r w:rsidR="002C077F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292.</w:t>
      </w:r>
    </w:p>
    <w:p w14:paraId="6F6E1990" w14:textId="6E558BCA" w:rsidR="00AC12AE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Müller, Thomas (2012), Branching in the landscape of possibilities</w:t>
      </w:r>
      <w:r w:rsidR="007C2ECB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Synthese</w:t>
      </w:r>
      <w:proofErr w:type="spellEnd"/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 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188</w:t>
      </w:r>
      <w:r w:rsidR="006D02E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41</w:t>
      </w:r>
      <w:r w:rsidR="006D02E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-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65. </w:t>
      </w:r>
    </w:p>
    <w:p w14:paraId="6DD78DCA" w14:textId="3435003B" w:rsidR="00AC12AE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Pakendorf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, Brigitte </w:t>
      </w:r>
      <w:r w:rsidR="006D02E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and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Ewa </w:t>
      </w:r>
      <w:proofErr w:type="spellStart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Schalley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(2007</w:t>
      </w:r>
      <w:r w:rsidR="007C2ECB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),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From possibility to prohibition: A rare grammaticalization pathway. </w:t>
      </w:r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Linguistic Typology 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11: 515-54</w:t>
      </w:r>
      <w:r w:rsidR="0069573C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0</w:t>
      </w:r>
      <w:r w:rsidR="007C2ECB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</w:p>
    <w:p w14:paraId="67AD173C" w14:textId="30642720" w:rsidR="006D02E0" w:rsidRPr="006D02E0" w:rsidRDefault="006D02E0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Portner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, Paul (2009), </w:t>
      </w: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Modality.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Oxford: Oxford University Press. </w:t>
      </w:r>
    </w:p>
    <w:p w14:paraId="01676E8E" w14:textId="71E5FA0B" w:rsidR="00AC12AE" w:rsidRPr="00BE5160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Thomas, Guillaume (201</w:t>
      </w:r>
      <w:r w:rsidR="0069573C"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4), </w:t>
      </w:r>
      <w:r w:rsidRPr="00B025D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Circumstantial modality and the diversity condition</w:t>
      </w:r>
      <w:r w:rsidRPr="00BE516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.</w:t>
      </w:r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  </w:t>
      </w:r>
      <w:r w:rsidRPr="00B025D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Proceedings of Sinn und </w:t>
      </w:r>
      <w:proofErr w:type="spellStart"/>
      <w:r w:rsidRPr="00B025D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>Bedeutung</w:t>
      </w:r>
      <w:proofErr w:type="spellEnd"/>
      <w:r w:rsidRPr="00BE516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18.</w:t>
      </w:r>
    </w:p>
    <w:p w14:paraId="55A154E9" w14:textId="3373CCD5" w:rsidR="00AC12AE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Ülkümen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G</w:t>
      </w:r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ülden</w:t>
      </w:r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Craig</w:t>
      </w:r>
      <w:proofErr w:type="spellEnd"/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R.</w:t>
      </w:r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Fox</w:t>
      </w:r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Bertrand F.</w:t>
      </w:r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Malle (2016</w:t>
      </w:r>
      <w:r w:rsidR="00EB3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),</w:t>
      </w:r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Two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dimensions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subjective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uncertainty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Clues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from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natural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language</w:t>
      </w:r>
      <w:proofErr w:type="spellEnd"/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BE5160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BE5160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 xml:space="preserve">Journal of </w:t>
      </w:r>
      <w:proofErr w:type="spellStart"/>
      <w:r w:rsidRPr="00BE5160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Experimental</w:t>
      </w:r>
      <w:proofErr w:type="spellEnd"/>
      <w:r w:rsidRPr="00BE5160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E5160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Psychology</w:t>
      </w:r>
      <w:proofErr w:type="spellEnd"/>
      <w:r w:rsidRPr="00BE5160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 xml:space="preserve"> [General] </w:t>
      </w:r>
      <w:r w:rsidRPr="00EB3985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145</w:t>
      </w:r>
      <w:r w:rsidRPr="00EB398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(10),</w:t>
      </w:r>
      <w:r w:rsidRPr="00BE51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1280-1297.</w:t>
      </w:r>
    </w:p>
    <w:p w14:paraId="4F77E716" w14:textId="7D2EE0CF" w:rsidR="006D02E0" w:rsidRPr="003033AA" w:rsidRDefault="006D02E0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</w:rPr>
      </w:pPr>
      <w:r w:rsidRPr="003033A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von </w:t>
      </w:r>
      <w:proofErr w:type="spellStart"/>
      <w:r w:rsidRPr="003033A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Fintel</w:t>
      </w:r>
      <w:proofErr w:type="spellEnd"/>
      <w:r w:rsidR="003033AA" w:rsidRPr="003033A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, Kai</w:t>
      </w:r>
      <w:r w:rsidRPr="003033A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</w:t>
      </w:r>
      <w:r w:rsidR="003033AA" w:rsidRPr="003033A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and </w:t>
      </w:r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 xml:space="preserve">Anthony S. </w:t>
      </w:r>
      <w:r w:rsidRPr="003033A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Gillies</w:t>
      </w:r>
      <w:r w:rsidR="003033AA" w:rsidRPr="003033AA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(</w:t>
      </w:r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2011),</w:t>
      </w:r>
      <w:r w:rsidR="003033AA" w:rsidRPr="003033A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="003033AA" w:rsidRPr="003033AA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Might</w:t>
      </w:r>
      <w:proofErr w:type="spellEnd"/>
      <w:r w:rsidR="003033AA" w:rsidRPr="003033A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 xml:space="preserve">made right. In A. </w:t>
      </w:r>
      <w:proofErr w:type="spellStart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Egan</w:t>
      </w:r>
      <w:proofErr w:type="spellEnd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 xml:space="preserve"> B. </w:t>
      </w:r>
      <w:proofErr w:type="spellStart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Weatherson</w:t>
      </w:r>
      <w:proofErr w:type="spellEnd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eds</w:t>
      </w:r>
      <w:proofErr w:type="spellEnd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.),</w:t>
      </w:r>
      <w:r w:rsidR="003033AA" w:rsidRPr="003033A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="003033AA" w:rsidRPr="003033AA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Epistemic</w:t>
      </w:r>
      <w:proofErr w:type="spellEnd"/>
      <w:r w:rsidR="003033AA" w:rsidRPr="003033AA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033AA" w:rsidRPr="003033AA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modality</w:t>
      </w:r>
      <w:proofErr w:type="spellEnd"/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, Oxford: Oxford University Press, 108</w:t>
      </w:r>
      <w:r w:rsidR="003033AA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3033AA" w:rsidRPr="003033AA">
        <w:rPr>
          <w:rFonts w:asciiTheme="minorHAnsi" w:hAnsiTheme="minorHAnsi" w:cstheme="minorHAnsi"/>
          <w:color w:val="000000"/>
          <w:sz w:val="22"/>
          <w:szCs w:val="22"/>
        </w:rPr>
        <w:t>130.</w:t>
      </w:r>
    </w:p>
    <w:p w14:paraId="11AF72D7" w14:textId="075517DF" w:rsidR="006067A7" w:rsidRPr="00C22C1A" w:rsidRDefault="00AC12AE" w:rsidP="00C22C1A">
      <w:pPr>
        <w:autoSpaceDE w:val="0"/>
        <w:autoSpaceDN w:val="0"/>
        <w:adjustRightInd w:val="0"/>
        <w:ind w:left="568" w:hanging="582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</w:pPr>
      <w:proofErr w:type="spellStart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Vuillermet</w:t>
      </w:r>
      <w:proofErr w:type="spellEnd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Marine (2018</w:t>
      </w:r>
      <w:r w:rsidR="00EB3985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),</w:t>
      </w:r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The </w:t>
      </w:r>
      <w:proofErr w:type="spellStart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Apprehensional</w:t>
      </w:r>
      <w:proofErr w:type="spellEnd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Domain in Ese </w:t>
      </w:r>
      <w:proofErr w:type="spellStart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Ejja</w:t>
      </w:r>
      <w:proofErr w:type="spellEnd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: Making the Case for a morphosemantic </w:t>
      </w:r>
      <w:proofErr w:type="spellStart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apprehensional</w:t>
      </w:r>
      <w:proofErr w:type="spellEnd"/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domain</w:t>
      </w:r>
      <w:r w:rsid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</w:t>
      </w:r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  <w:r w:rsidRPr="00C22C1A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GB" w:eastAsia="en-US"/>
        </w:rPr>
        <w:t xml:space="preserve">Studies in Language </w:t>
      </w:r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42(1)</w:t>
      </w:r>
      <w:r w:rsid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</w:t>
      </w:r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256</w:t>
      </w:r>
      <w:r w:rsidR="00EB3985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-</w:t>
      </w:r>
      <w:r w:rsidRPr="00C22C1A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293. </w:t>
      </w:r>
    </w:p>
    <w:sectPr w:rsidR="006067A7" w:rsidRPr="00C2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C6338"/>
    <w:multiLevelType w:val="hybridMultilevel"/>
    <w:tmpl w:val="6A9A14EE"/>
    <w:lvl w:ilvl="0" w:tplc="57F00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42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63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4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07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8C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AE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EF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E8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491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A7"/>
    <w:rsid w:val="00032C9E"/>
    <w:rsid w:val="0007400B"/>
    <w:rsid w:val="00126B1C"/>
    <w:rsid w:val="0018188A"/>
    <w:rsid w:val="00190966"/>
    <w:rsid w:val="001D63F9"/>
    <w:rsid w:val="00211764"/>
    <w:rsid w:val="002346AE"/>
    <w:rsid w:val="00290433"/>
    <w:rsid w:val="002A7EAB"/>
    <w:rsid w:val="002C077F"/>
    <w:rsid w:val="003033AA"/>
    <w:rsid w:val="003734B1"/>
    <w:rsid w:val="00373E90"/>
    <w:rsid w:val="003822FB"/>
    <w:rsid w:val="003C4B5D"/>
    <w:rsid w:val="004544BB"/>
    <w:rsid w:val="00460C91"/>
    <w:rsid w:val="00572D60"/>
    <w:rsid w:val="00590CFD"/>
    <w:rsid w:val="00593DA6"/>
    <w:rsid w:val="005D5F3B"/>
    <w:rsid w:val="006067A7"/>
    <w:rsid w:val="00691C55"/>
    <w:rsid w:val="0069573C"/>
    <w:rsid w:val="006D02E0"/>
    <w:rsid w:val="0071523D"/>
    <w:rsid w:val="007C2ECB"/>
    <w:rsid w:val="007C5D4A"/>
    <w:rsid w:val="00852AF3"/>
    <w:rsid w:val="008537C0"/>
    <w:rsid w:val="00890906"/>
    <w:rsid w:val="008D4862"/>
    <w:rsid w:val="008F2EFE"/>
    <w:rsid w:val="00941185"/>
    <w:rsid w:val="00992B64"/>
    <w:rsid w:val="009B2DFC"/>
    <w:rsid w:val="00A4661C"/>
    <w:rsid w:val="00A75FCB"/>
    <w:rsid w:val="00AC12AE"/>
    <w:rsid w:val="00AE2DFD"/>
    <w:rsid w:val="00AE77B7"/>
    <w:rsid w:val="00B025D0"/>
    <w:rsid w:val="00B41BDB"/>
    <w:rsid w:val="00B56DCE"/>
    <w:rsid w:val="00B76143"/>
    <w:rsid w:val="00B830F9"/>
    <w:rsid w:val="00BE5160"/>
    <w:rsid w:val="00C22C1A"/>
    <w:rsid w:val="00C76B08"/>
    <w:rsid w:val="00CC22FC"/>
    <w:rsid w:val="00D0560F"/>
    <w:rsid w:val="00D07261"/>
    <w:rsid w:val="00D109F1"/>
    <w:rsid w:val="00D26038"/>
    <w:rsid w:val="00D77FC0"/>
    <w:rsid w:val="00DA65CB"/>
    <w:rsid w:val="00DD6F75"/>
    <w:rsid w:val="00E11FBC"/>
    <w:rsid w:val="00E31635"/>
    <w:rsid w:val="00E671ED"/>
    <w:rsid w:val="00E75482"/>
    <w:rsid w:val="00EB06B2"/>
    <w:rsid w:val="00EB3985"/>
    <w:rsid w:val="00E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BF25"/>
  <w15:chartTrackingRefBased/>
  <w15:docId w15:val="{59329B7F-DB91-4939-9A64-CDAF6DD4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1764"/>
  </w:style>
  <w:style w:type="character" w:styleId="Emphasis">
    <w:name w:val="Emphasis"/>
    <w:basedOn w:val="DefaultParagraphFont"/>
    <w:uiPriority w:val="20"/>
    <w:qFormat/>
    <w:rsid w:val="0021176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17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3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F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Revision">
    <w:name w:val="Revision"/>
    <w:hidden/>
    <w:uiPriority w:val="99"/>
    <w:semiHidden/>
    <w:rsid w:val="00EB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unhideWhenUsed/>
    <w:rsid w:val="00AC12AE"/>
    <w:pPr>
      <w:spacing w:before="100" w:beforeAutospacing="1" w:after="100" w:afterAutospacing="1"/>
      <w:jc w:val="left"/>
    </w:pPr>
    <w:rPr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C12AE"/>
    <w:rPr>
      <w:color w:val="954F72" w:themeColor="followedHyperlink"/>
      <w:u w:val="single"/>
    </w:rPr>
  </w:style>
  <w:style w:type="paragraph" w:customStyle="1" w:styleId="EndNoteBibliography">
    <w:name w:val="EndNote Bibliography"/>
    <w:basedOn w:val="Normal"/>
    <w:rsid w:val="0069573C"/>
    <w:pPr>
      <w:spacing w:after="200"/>
      <w:jc w:val="left"/>
    </w:pPr>
    <w:rPr>
      <w:rFonts w:ascii="Cambria" w:eastAsiaTheme="minorHAnsi" w:hAnsi="Cambria" w:cstheme="minorBidi"/>
      <w:noProof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69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9202a6-e211-4275-8e27-b09f113130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174F9DAA68943A4F64D1C7FA5190F" ma:contentTypeVersion="18" ma:contentTypeDescription="Create a new document." ma:contentTypeScope="" ma:versionID="deba9e3ed99c1efeafdcf768691a67e2">
  <xsd:schema xmlns:xsd="http://www.w3.org/2001/XMLSchema" xmlns:xs="http://www.w3.org/2001/XMLSchema" xmlns:p="http://schemas.microsoft.com/office/2006/metadata/properties" xmlns:ns3="61dace89-6e26-49db-a801-3b0b4dff7cd3" xmlns:ns4="cd9202a6-e211-4275-8e27-b09f1131300c" targetNamespace="http://schemas.microsoft.com/office/2006/metadata/properties" ma:root="true" ma:fieldsID="b4fab3e27eb5588d351d566052a4ac00" ns3:_="" ns4:_="">
    <xsd:import namespace="61dace89-6e26-49db-a801-3b0b4dff7cd3"/>
    <xsd:import namespace="cd9202a6-e211-4275-8e27-b09f113130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Location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ce89-6e26-49db-a801-3b0b4dff7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202a6-e211-4275-8e27-b09f11313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922B9-FB73-47F3-A158-33DC7344D7FC}">
  <ds:schemaRefs>
    <ds:schemaRef ds:uri="http://schemas.microsoft.com/office/2006/metadata/properties"/>
    <ds:schemaRef ds:uri="http://schemas.microsoft.com/office/infopath/2007/PartnerControls"/>
    <ds:schemaRef ds:uri="cd9202a6-e211-4275-8e27-b09f1131300c"/>
  </ds:schemaRefs>
</ds:datastoreItem>
</file>

<file path=customXml/itemProps2.xml><?xml version="1.0" encoding="utf-8"?>
<ds:datastoreItem xmlns:ds="http://schemas.openxmlformats.org/officeDocument/2006/customXml" ds:itemID="{B454CCF3-419B-4B2B-A4F8-D1B1419E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ace89-6e26-49db-a801-3b0b4dff7cd3"/>
    <ds:schemaRef ds:uri="cd9202a6-e211-4275-8e27-b09f11313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2C36B-C156-4926-8CCB-A5393E0B3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Kisiel</dc:creator>
  <cp:keywords/>
  <dc:description/>
  <cp:lastModifiedBy>Eva Schultze-Berndt</cp:lastModifiedBy>
  <cp:revision>8</cp:revision>
  <dcterms:created xsi:type="dcterms:W3CDTF">2024-08-08T16:16:00Z</dcterms:created>
  <dcterms:modified xsi:type="dcterms:W3CDTF">2024-08-08T16:20:00Z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0x010100371174F9DAA68943A4F64D1C7FA5190F</vt:lpwstr>
  </property>
</Properties>
</file>